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D775D4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2A416E">
        <w:rPr>
          <w:b/>
          <w:sz w:val="28"/>
          <w:szCs w:val="28"/>
          <w:lang w:val="uk-UA"/>
        </w:rPr>
        <w:t xml:space="preserve"> 2021 р</w:t>
      </w:r>
      <w:r w:rsidR="00D775D4">
        <w:rPr>
          <w:b/>
          <w:sz w:val="28"/>
          <w:szCs w:val="28"/>
          <w:lang w:val="uk-UA"/>
        </w:rPr>
        <w:t>ік</w:t>
      </w:r>
    </w:p>
    <w:p w:rsidR="0014271E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C44A22" w:rsidRDefault="0014271E" w:rsidP="00C44A2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r w:rsidRPr="007C4EB2">
        <w:rPr>
          <w:b/>
          <w:lang w:val="uk-UA"/>
        </w:rPr>
        <w:t>Д</w:t>
      </w:r>
      <w:r w:rsidRPr="007C4EB2">
        <w:rPr>
          <w:b/>
          <w:sz w:val="28"/>
          <w:szCs w:val="28"/>
          <w:lang w:val="uk-UA"/>
        </w:rPr>
        <w:t xml:space="preserve">оходи загального фонду </w:t>
      </w:r>
      <w:r w:rsidR="007C4EB2" w:rsidRPr="007C4EB2">
        <w:rPr>
          <w:b/>
          <w:sz w:val="28"/>
          <w:szCs w:val="28"/>
          <w:lang w:val="uk-UA"/>
        </w:rPr>
        <w:t>бюджету</w:t>
      </w:r>
      <w:r w:rsidR="007C4EB2">
        <w:rPr>
          <w:sz w:val="28"/>
          <w:szCs w:val="28"/>
          <w:lang w:val="uk-UA"/>
        </w:rPr>
        <w:t xml:space="preserve"> </w:t>
      </w:r>
      <w:r w:rsidR="00F97508" w:rsidRPr="00C44A22">
        <w:rPr>
          <w:b/>
          <w:sz w:val="28"/>
          <w:szCs w:val="28"/>
          <w:lang w:val="uk-UA"/>
        </w:rPr>
        <w:t>Білківсько</w:t>
      </w:r>
      <w:r w:rsidR="007C4EB2">
        <w:rPr>
          <w:b/>
          <w:sz w:val="28"/>
          <w:szCs w:val="28"/>
          <w:lang w:val="uk-UA"/>
        </w:rPr>
        <w:t>ї</w:t>
      </w:r>
      <w:r w:rsidR="00F97508" w:rsidRPr="00C44A22">
        <w:rPr>
          <w:b/>
          <w:sz w:val="28"/>
          <w:szCs w:val="28"/>
          <w:lang w:val="uk-UA"/>
        </w:rPr>
        <w:t xml:space="preserve"> сільсько</w:t>
      </w:r>
      <w:r w:rsidR="007C4EB2">
        <w:rPr>
          <w:b/>
          <w:sz w:val="28"/>
          <w:szCs w:val="28"/>
          <w:lang w:val="uk-UA"/>
        </w:rPr>
        <w:t>ї</w:t>
      </w:r>
      <w:r w:rsidRPr="00C44A22">
        <w:rPr>
          <w:b/>
          <w:sz w:val="28"/>
          <w:szCs w:val="28"/>
          <w:lang w:val="uk-UA"/>
        </w:rPr>
        <w:t xml:space="preserve"> </w:t>
      </w:r>
      <w:r w:rsidR="007C4EB2">
        <w:rPr>
          <w:b/>
          <w:sz w:val="28"/>
          <w:szCs w:val="28"/>
          <w:lang w:val="uk-UA"/>
        </w:rPr>
        <w:t>територіальної громади</w:t>
      </w:r>
      <w:r w:rsidRPr="00F97508">
        <w:rPr>
          <w:sz w:val="28"/>
          <w:szCs w:val="28"/>
          <w:lang w:val="uk-UA"/>
        </w:rPr>
        <w:t xml:space="preserve"> за </w:t>
      </w:r>
      <w:r w:rsidR="002A416E">
        <w:rPr>
          <w:sz w:val="28"/>
          <w:szCs w:val="28"/>
          <w:lang w:val="uk-UA"/>
        </w:rPr>
        <w:t>2021 р</w:t>
      </w:r>
      <w:r w:rsidR="00D775D4">
        <w:rPr>
          <w:sz w:val="28"/>
          <w:szCs w:val="28"/>
          <w:lang w:val="uk-UA"/>
        </w:rPr>
        <w:t>ік</w:t>
      </w:r>
      <w:r w:rsidR="002A416E">
        <w:rPr>
          <w:sz w:val="28"/>
          <w:szCs w:val="28"/>
          <w:lang w:val="uk-UA"/>
        </w:rPr>
        <w:t xml:space="preserve"> </w:t>
      </w:r>
      <w:r w:rsidRPr="00F97508">
        <w:rPr>
          <w:sz w:val="28"/>
          <w:szCs w:val="28"/>
          <w:lang w:val="uk-UA"/>
        </w:rPr>
        <w:t>виконано у сумі</w:t>
      </w:r>
      <w:r>
        <w:rPr>
          <w:b/>
          <w:sz w:val="28"/>
          <w:szCs w:val="28"/>
          <w:lang w:val="uk-UA"/>
        </w:rPr>
        <w:t xml:space="preserve"> </w:t>
      </w:r>
      <w:r w:rsidR="00D775D4">
        <w:rPr>
          <w:b/>
          <w:sz w:val="28"/>
          <w:szCs w:val="28"/>
          <w:lang w:val="uk-UA"/>
        </w:rPr>
        <w:t>31 427,4</w:t>
      </w:r>
      <w:r w:rsidR="002A416E">
        <w:rPr>
          <w:b/>
          <w:sz w:val="28"/>
          <w:szCs w:val="28"/>
          <w:lang w:val="uk-UA"/>
        </w:rPr>
        <w:t xml:space="preserve"> тис.</w:t>
      </w:r>
      <w:r w:rsidRPr="007A7383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., що </w:t>
      </w:r>
      <w:r w:rsidRPr="007C4EB2">
        <w:rPr>
          <w:b/>
          <w:sz w:val="28"/>
          <w:szCs w:val="28"/>
          <w:lang w:val="uk-UA"/>
        </w:rPr>
        <w:t>складає  1</w:t>
      </w:r>
      <w:r w:rsidR="00AD71DA" w:rsidRPr="007C4EB2">
        <w:rPr>
          <w:b/>
          <w:sz w:val="28"/>
          <w:szCs w:val="28"/>
          <w:lang w:val="uk-UA"/>
        </w:rPr>
        <w:t>0</w:t>
      </w:r>
      <w:r w:rsidR="00D775D4">
        <w:rPr>
          <w:b/>
          <w:sz w:val="28"/>
          <w:szCs w:val="28"/>
          <w:lang w:val="uk-UA"/>
        </w:rPr>
        <w:t>2,4</w:t>
      </w:r>
      <w:r w:rsidRPr="007C4EB2">
        <w:rPr>
          <w:b/>
          <w:sz w:val="28"/>
          <w:szCs w:val="28"/>
          <w:lang w:val="uk-UA"/>
        </w:rPr>
        <w:t xml:space="preserve"> відсотка</w:t>
      </w:r>
      <w:r>
        <w:rPr>
          <w:sz w:val="28"/>
          <w:szCs w:val="28"/>
          <w:lang w:val="uk-UA"/>
        </w:rPr>
        <w:t xml:space="preserve"> до </w:t>
      </w:r>
      <w:r w:rsidR="00D775D4">
        <w:rPr>
          <w:sz w:val="28"/>
          <w:szCs w:val="28"/>
          <w:lang w:val="uk-UA"/>
        </w:rPr>
        <w:t xml:space="preserve">уточненого </w:t>
      </w:r>
      <w:r>
        <w:rPr>
          <w:sz w:val="28"/>
          <w:szCs w:val="28"/>
          <w:lang w:val="uk-UA"/>
        </w:rPr>
        <w:t>плану на</w:t>
      </w:r>
      <w:r w:rsidR="00D775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звітній період і  більше  на </w:t>
      </w:r>
      <w:r w:rsidR="00D775D4">
        <w:rPr>
          <w:sz w:val="28"/>
          <w:szCs w:val="28"/>
          <w:lang w:val="uk-UA"/>
        </w:rPr>
        <w:t>747,7</w:t>
      </w:r>
      <w:r w:rsidR="002A416E" w:rsidRPr="002A416E">
        <w:rPr>
          <w:b/>
          <w:sz w:val="28"/>
          <w:szCs w:val="28"/>
          <w:lang w:val="uk-UA"/>
        </w:rPr>
        <w:t xml:space="preserve"> </w:t>
      </w:r>
      <w:r w:rsidR="002A416E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грн. </w:t>
      </w:r>
      <w:r w:rsidR="007A7383">
        <w:rPr>
          <w:sz w:val="28"/>
          <w:szCs w:val="28"/>
          <w:lang w:val="uk-UA"/>
        </w:rPr>
        <w:t>(Додаток1).</w:t>
      </w:r>
    </w:p>
    <w:p w:rsidR="002A416E" w:rsidRDefault="002A416E" w:rsidP="00C4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порівнянні з відповідним періодом минулого року надходження склали 1</w:t>
      </w:r>
      <w:r w:rsidR="00AD71DA">
        <w:rPr>
          <w:sz w:val="28"/>
          <w:szCs w:val="28"/>
          <w:lang w:val="uk-UA"/>
        </w:rPr>
        <w:t>1</w:t>
      </w:r>
      <w:r w:rsidR="004E4CBA">
        <w:rPr>
          <w:sz w:val="28"/>
          <w:szCs w:val="28"/>
          <w:lang w:val="uk-UA"/>
        </w:rPr>
        <w:t>7,</w:t>
      </w:r>
      <w:r w:rsidR="00D775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відсотка, або більше на </w:t>
      </w:r>
      <w:r w:rsidR="00D775D4">
        <w:rPr>
          <w:sz w:val="28"/>
          <w:szCs w:val="28"/>
          <w:lang w:val="uk-UA"/>
        </w:rPr>
        <w:t xml:space="preserve"> 4 641,3</w:t>
      </w:r>
      <w:r w:rsidR="00C94A3E">
        <w:rPr>
          <w:sz w:val="28"/>
          <w:szCs w:val="28"/>
          <w:lang w:val="uk-UA"/>
        </w:rPr>
        <w:t xml:space="preserve"> тис.грн..</w:t>
      </w:r>
    </w:p>
    <w:p w:rsidR="001F7608" w:rsidRDefault="001F7608" w:rsidP="001F7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Перевиконання планових показників доходів загального фонду та збільшення надходжень забезпечено бюджетоутворюючими джерелами – податком на доходи фізичних осіб, земельним  та єдиним податками.</w:t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Pr="0033647E" w:rsidRDefault="001F7608" w:rsidP="001F7608">
      <w:pPr>
        <w:rPr>
          <w:sz w:val="28"/>
          <w:szCs w:val="28"/>
        </w:rPr>
      </w:pPr>
      <w:r>
        <w:rPr>
          <w:sz w:val="28"/>
          <w:szCs w:val="28"/>
        </w:rPr>
        <w:tab/>
        <w:t>Виконання дохідної частини бюджету за 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</w:t>
      </w:r>
      <w:r w:rsidR="00D775D4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 xml:space="preserve">, питома вага якого складає </w:t>
      </w:r>
      <w:r w:rsidR="00AD71DA">
        <w:rPr>
          <w:sz w:val="28"/>
          <w:szCs w:val="28"/>
          <w:lang w:val="uk-UA"/>
        </w:rPr>
        <w:t>60,8</w:t>
      </w:r>
      <w:r>
        <w:rPr>
          <w:sz w:val="28"/>
          <w:szCs w:val="28"/>
        </w:rPr>
        <w:t xml:space="preserve"> відсотк</w:t>
      </w:r>
      <w:r w:rsidR="00AD71DA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60%. За звітній період поточного року надійшло даного виду п</w:t>
      </w:r>
      <w:r w:rsidR="00AD71DA">
        <w:rPr>
          <w:sz w:val="28"/>
          <w:szCs w:val="28"/>
          <w:lang w:val="uk-UA"/>
        </w:rPr>
        <w:t>одатку</w:t>
      </w:r>
      <w:r>
        <w:rPr>
          <w:sz w:val="28"/>
          <w:szCs w:val="28"/>
        </w:rPr>
        <w:t xml:space="preserve"> </w:t>
      </w:r>
      <w:r w:rsidR="004E4CBA" w:rsidRPr="004E4CBA">
        <w:rPr>
          <w:b/>
          <w:sz w:val="28"/>
          <w:szCs w:val="28"/>
          <w:lang w:val="uk-UA"/>
        </w:rPr>
        <w:t>1</w:t>
      </w:r>
      <w:r w:rsidR="00D775D4">
        <w:rPr>
          <w:b/>
          <w:sz w:val="28"/>
          <w:szCs w:val="28"/>
          <w:lang w:val="uk-UA"/>
        </w:rPr>
        <w:t>7 931,3</w:t>
      </w:r>
      <w:r w:rsidR="004E4CBA" w:rsidRPr="004E4CBA">
        <w:rPr>
          <w:b/>
          <w:sz w:val="28"/>
          <w:szCs w:val="28"/>
          <w:lang w:val="uk-UA"/>
        </w:rPr>
        <w:t>тис</w:t>
      </w:r>
      <w:r w:rsidRPr="004E4CBA">
        <w:rPr>
          <w:b/>
          <w:sz w:val="28"/>
          <w:szCs w:val="28"/>
        </w:rPr>
        <w:t>.грн</w:t>
      </w:r>
      <w:r>
        <w:rPr>
          <w:sz w:val="28"/>
          <w:szCs w:val="28"/>
        </w:rPr>
        <w:t xml:space="preserve">., або на </w:t>
      </w:r>
      <w:r w:rsidR="00D775D4">
        <w:rPr>
          <w:sz w:val="28"/>
          <w:szCs w:val="28"/>
          <w:lang w:val="uk-UA"/>
        </w:rPr>
        <w:t>6,6</w:t>
      </w:r>
      <w:r>
        <w:rPr>
          <w:sz w:val="28"/>
          <w:szCs w:val="28"/>
        </w:rPr>
        <w:t xml:space="preserve"> відсотка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 планових показників  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 w:rsidR="004E4CBA">
        <w:rPr>
          <w:sz w:val="28"/>
          <w:szCs w:val="28"/>
          <w:lang w:val="uk-UA"/>
        </w:rPr>
        <w:t xml:space="preserve"> та </w:t>
      </w:r>
      <w:r w:rsidR="00D775D4">
        <w:rPr>
          <w:sz w:val="28"/>
          <w:szCs w:val="28"/>
          <w:lang w:val="uk-UA"/>
        </w:rPr>
        <w:t>100 відсотків</w:t>
      </w:r>
      <w:r w:rsidR="004E4CBA">
        <w:rPr>
          <w:sz w:val="28"/>
          <w:szCs w:val="28"/>
          <w:lang w:val="uk-UA"/>
        </w:rPr>
        <w:t xml:space="preserve">  уточненого показника на звітній період</w:t>
      </w:r>
      <w:r>
        <w:rPr>
          <w:sz w:val="28"/>
          <w:szCs w:val="28"/>
        </w:rPr>
        <w:t>.   В порівнянні з відповідним періодом минулого року виконня склало 1</w:t>
      </w:r>
      <w:r w:rsidR="00AD71DA">
        <w:rPr>
          <w:sz w:val="28"/>
          <w:szCs w:val="28"/>
          <w:lang w:val="uk-UA"/>
        </w:rPr>
        <w:t>1</w:t>
      </w:r>
      <w:r w:rsidR="00D775D4">
        <w:rPr>
          <w:sz w:val="28"/>
          <w:szCs w:val="28"/>
          <w:lang w:val="uk-UA"/>
        </w:rPr>
        <w:t>4</w:t>
      </w:r>
      <w:r w:rsidR="004E4CBA"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відсотка, або більше на </w:t>
      </w:r>
      <w:r w:rsidR="00D775D4">
        <w:rPr>
          <w:sz w:val="28"/>
          <w:szCs w:val="28"/>
          <w:lang w:val="uk-UA"/>
        </w:rPr>
        <w:t>2197,3</w:t>
      </w:r>
      <w:r>
        <w:rPr>
          <w:sz w:val="28"/>
          <w:szCs w:val="28"/>
        </w:rPr>
        <w:t xml:space="preserve"> тис.грн..</w:t>
      </w: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</w:t>
      </w:r>
      <w:r w:rsidR="007021FA">
        <w:rPr>
          <w:sz w:val="28"/>
          <w:szCs w:val="28"/>
          <w:lang w:val="uk-UA"/>
        </w:rPr>
        <w:t xml:space="preserve"> бюджетні установи, питома вага яких складає 76,6 відсотків та малий і середній бізнес – 23,4 відсотка.</w:t>
      </w:r>
    </w:p>
    <w:p w:rsidR="007021FA" w:rsidRDefault="007021FA" w:rsidP="007021FA">
      <w:pPr>
        <w:ind w:firstLine="708"/>
        <w:outlineLvl w:val="0"/>
        <w:rPr>
          <w:b/>
          <w:sz w:val="28"/>
          <w:szCs w:val="28"/>
          <w:lang w:val="uk-UA"/>
        </w:rPr>
      </w:pPr>
    </w:p>
    <w:p w:rsidR="007021FA" w:rsidRPr="00835DD2" w:rsidRDefault="007021FA" w:rsidP="007021FA">
      <w:pPr>
        <w:ind w:firstLine="708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</w:t>
      </w:r>
      <w:r w:rsidR="00D775D4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 бюджет</w:t>
      </w:r>
      <w:r w:rsidR="00AD71DA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="004E4CBA">
        <w:rPr>
          <w:sz w:val="28"/>
          <w:szCs w:val="28"/>
          <w:lang w:val="uk-UA"/>
        </w:rPr>
        <w:t xml:space="preserve"> </w:t>
      </w:r>
      <w:r w:rsidR="001165D4" w:rsidRPr="001165D4">
        <w:rPr>
          <w:b/>
          <w:sz w:val="28"/>
          <w:szCs w:val="28"/>
          <w:lang w:val="uk-UA"/>
        </w:rPr>
        <w:t>10 179,0</w:t>
      </w:r>
      <w:r w:rsidRPr="004E4CBA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>., або 1</w:t>
      </w:r>
      <w:r w:rsidR="00AD71DA">
        <w:rPr>
          <w:sz w:val="28"/>
          <w:szCs w:val="28"/>
          <w:lang w:val="uk-UA"/>
        </w:rPr>
        <w:t>0</w:t>
      </w:r>
      <w:r w:rsidR="001165D4">
        <w:rPr>
          <w:sz w:val="28"/>
          <w:szCs w:val="28"/>
          <w:lang w:val="uk-UA"/>
        </w:rPr>
        <w:t>5,0</w:t>
      </w:r>
      <w:r>
        <w:rPr>
          <w:sz w:val="28"/>
          <w:szCs w:val="28"/>
        </w:rPr>
        <w:t xml:space="preserve"> відсотк</w:t>
      </w:r>
      <w:r w:rsidR="001165D4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>до</w:t>
      </w:r>
      <w:r w:rsidR="001165D4">
        <w:rPr>
          <w:sz w:val="28"/>
          <w:szCs w:val="28"/>
          <w:lang w:val="uk-UA"/>
        </w:rPr>
        <w:t xml:space="preserve"> уточненого</w:t>
      </w:r>
      <w:r>
        <w:rPr>
          <w:sz w:val="28"/>
          <w:szCs w:val="28"/>
        </w:rPr>
        <w:t xml:space="preserve"> плану </w:t>
      </w:r>
      <w:r w:rsidR="001165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</w:t>
      </w:r>
      <w:r w:rsidR="001165D4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. В порівнянні з аналогічним періодом минулого року надходження склали 1</w:t>
      </w:r>
      <w:r w:rsidR="004E4CBA">
        <w:rPr>
          <w:sz w:val="28"/>
          <w:szCs w:val="28"/>
          <w:lang w:val="uk-UA"/>
        </w:rPr>
        <w:t>21,</w:t>
      </w:r>
      <w:r w:rsidR="001165D4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відсотка.</w:t>
      </w:r>
      <w:r w:rsidR="00835DD2">
        <w:rPr>
          <w:sz w:val="28"/>
          <w:szCs w:val="28"/>
          <w:lang w:val="uk-UA"/>
        </w:rPr>
        <w:t xml:space="preserve"> </w:t>
      </w:r>
      <w:r w:rsidR="00E46FEF">
        <w:rPr>
          <w:sz w:val="28"/>
          <w:szCs w:val="28"/>
          <w:lang w:val="uk-UA"/>
        </w:rPr>
        <w:t xml:space="preserve">Станом на 01 </w:t>
      </w:r>
      <w:r w:rsidR="001165D4">
        <w:rPr>
          <w:sz w:val="28"/>
          <w:szCs w:val="28"/>
          <w:lang w:val="uk-UA"/>
        </w:rPr>
        <w:t>січня</w:t>
      </w:r>
      <w:r w:rsidR="00E46FEF">
        <w:rPr>
          <w:sz w:val="28"/>
          <w:szCs w:val="28"/>
          <w:lang w:val="uk-UA"/>
        </w:rPr>
        <w:t xml:space="preserve"> 202</w:t>
      </w:r>
      <w:r w:rsidR="001165D4">
        <w:rPr>
          <w:sz w:val="28"/>
          <w:szCs w:val="28"/>
          <w:lang w:val="uk-UA"/>
        </w:rPr>
        <w:t>2</w:t>
      </w:r>
      <w:r w:rsidR="00E46FEF">
        <w:rPr>
          <w:sz w:val="28"/>
          <w:szCs w:val="28"/>
          <w:lang w:val="uk-UA"/>
        </w:rPr>
        <w:t xml:space="preserve"> року н</w:t>
      </w:r>
      <w:r w:rsidR="00835DD2">
        <w:rPr>
          <w:sz w:val="28"/>
          <w:szCs w:val="28"/>
          <w:lang w:val="uk-UA"/>
        </w:rPr>
        <w:t xml:space="preserve">а території Білківської </w:t>
      </w:r>
      <w:r w:rsidR="002C452A">
        <w:rPr>
          <w:sz w:val="28"/>
          <w:szCs w:val="28"/>
          <w:lang w:val="uk-UA"/>
        </w:rPr>
        <w:t xml:space="preserve">сільської </w:t>
      </w:r>
      <w:r w:rsidR="00835DD2">
        <w:rPr>
          <w:sz w:val="28"/>
          <w:szCs w:val="28"/>
          <w:lang w:val="uk-UA"/>
        </w:rPr>
        <w:t>територіальної громади</w:t>
      </w:r>
      <w:r w:rsidR="00E46FEF">
        <w:rPr>
          <w:sz w:val="28"/>
          <w:szCs w:val="28"/>
          <w:lang w:val="uk-UA"/>
        </w:rPr>
        <w:t xml:space="preserve"> </w:t>
      </w:r>
      <w:r w:rsidR="00835DD2">
        <w:rPr>
          <w:sz w:val="28"/>
          <w:szCs w:val="28"/>
          <w:lang w:val="uk-UA"/>
        </w:rPr>
        <w:t xml:space="preserve"> є 3</w:t>
      </w:r>
      <w:r w:rsidR="001165D4">
        <w:rPr>
          <w:sz w:val="28"/>
          <w:szCs w:val="28"/>
          <w:lang w:val="uk-UA"/>
        </w:rPr>
        <w:t>20</w:t>
      </w:r>
      <w:r w:rsidR="00835DD2">
        <w:rPr>
          <w:sz w:val="28"/>
          <w:szCs w:val="28"/>
          <w:lang w:val="uk-UA"/>
        </w:rPr>
        <w:t xml:space="preserve"> осіб-платників  єдиного податку. </w:t>
      </w:r>
    </w:p>
    <w:p w:rsidR="001F7608" w:rsidRDefault="001F7608" w:rsidP="001F7608">
      <w:pPr>
        <w:outlineLvl w:val="0"/>
        <w:rPr>
          <w:sz w:val="28"/>
          <w:szCs w:val="28"/>
        </w:rPr>
      </w:pP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>
        <w:rPr>
          <w:b/>
          <w:sz w:val="28"/>
          <w:szCs w:val="28"/>
        </w:rPr>
        <w:t xml:space="preserve">– </w:t>
      </w:r>
      <w:r w:rsidR="004E4CBA">
        <w:rPr>
          <w:b/>
          <w:sz w:val="28"/>
          <w:szCs w:val="28"/>
          <w:lang w:val="uk-UA"/>
        </w:rPr>
        <w:t>1</w:t>
      </w:r>
      <w:r w:rsidR="001165D4">
        <w:rPr>
          <w:b/>
          <w:sz w:val="28"/>
          <w:szCs w:val="28"/>
          <w:lang w:val="uk-UA"/>
        </w:rPr>
        <w:t>387,3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1</w:t>
      </w:r>
      <w:r w:rsidR="001165D4">
        <w:rPr>
          <w:sz w:val="28"/>
          <w:szCs w:val="28"/>
          <w:lang w:val="uk-UA"/>
        </w:rPr>
        <w:t>16,6</w:t>
      </w:r>
      <w:r>
        <w:rPr>
          <w:sz w:val="28"/>
          <w:szCs w:val="28"/>
        </w:rPr>
        <w:t xml:space="preserve"> % до затверджених обсягів  поточного року. У пор</w:t>
      </w:r>
      <w:r w:rsidR="007021FA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внянні з відповідним періодом минулого року надходження збільшилися на </w:t>
      </w:r>
      <w:r w:rsidR="004E4CBA">
        <w:rPr>
          <w:sz w:val="28"/>
          <w:szCs w:val="28"/>
          <w:lang w:val="uk-UA"/>
        </w:rPr>
        <w:t xml:space="preserve"> </w:t>
      </w:r>
      <w:r w:rsidR="00652AE5">
        <w:rPr>
          <w:sz w:val="28"/>
          <w:szCs w:val="28"/>
          <w:lang w:val="uk-UA"/>
        </w:rPr>
        <w:t>314,7</w:t>
      </w:r>
      <w:r>
        <w:rPr>
          <w:sz w:val="28"/>
          <w:szCs w:val="28"/>
        </w:rPr>
        <w:t xml:space="preserve"> тис.грн., або на</w:t>
      </w:r>
      <w:r w:rsidR="00AD71DA">
        <w:rPr>
          <w:sz w:val="28"/>
          <w:szCs w:val="28"/>
          <w:lang w:val="uk-UA"/>
        </w:rPr>
        <w:t xml:space="preserve"> </w:t>
      </w:r>
      <w:r w:rsidR="001165D4">
        <w:rPr>
          <w:sz w:val="28"/>
          <w:szCs w:val="28"/>
          <w:lang w:val="uk-UA"/>
        </w:rPr>
        <w:t>2</w:t>
      </w:r>
      <w:r w:rsidR="004E4CBA">
        <w:rPr>
          <w:sz w:val="28"/>
          <w:szCs w:val="28"/>
          <w:lang w:val="uk-UA"/>
        </w:rPr>
        <w:t>9</w:t>
      </w:r>
      <w:r w:rsidR="00AD71DA">
        <w:rPr>
          <w:sz w:val="28"/>
          <w:szCs w:val="28"/>
          <w:lang w:val="uk-UA"/>
        </w:rPr>
        <w:t>,</w:t>
      </w:r>
      <w:r w:rsidR="001165D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відсотк</w:t>
      </w:r>
      <w:r w:rsidR="00AD71DA">
        <w:rPr>
          <w:sz w:val="28"/>
          <w:szCs w:val="28"/>
          <w:lang w:val="uk-UA"/>
        </w:rPr>
        <w:t>а.</w:t>
      </w:r>
      <w:r>
        <w:rPr>
          <w:sz w:val="28"/>
          <w:szCs w:val="28"/>
        </w:rPr>
        <w:t xml:space="preserve"> </w:t>
      </w:r>
    </w:p>
    <w:p w:rsidR="007021FA" w:rsidRPr="007021FA" w:rsidRDefault="007021FA" w:rsidP="001F7608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7608" w:rsidRDefault="001F7608" w:rsidP="001F7608">
      <w:pPr>
        <w:ind w:firstLine="708"/>
        <w:outlineLvl w:val="0"/>
        <w:rPr>
          <w:b/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>за  202</w:t>
      </w:r>
      <w:r w:rsidR="007021F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</w:t>
      </w:r>
      <w:r w:rsidR="00652AE5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надійшло в сумі </w:t>
      </w:r>
      <w:r w:rsidR="00652AE5">
        <w:rPr>
          <w:sz w:val="28"/>
          <w:szCs w:val="28"/>
          <w:lang w:val="uk-UA"/>
        </w:rPr>
        <w:t>459,3</w:t>
      </w:r>
      <w:r w:rsidR="004E4CBA" w:rsidRPr="004E4CBA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</w:rPr>
        <w:t>тис.грн</w:t>
      </w:r>
      <w:r>
        <w:rPr>
          <w:sz w:val="28"/>
          <w:szCs w:val="28"/>
        </w:rPr>
        <w:t xml:space="preserve">., або </w:t>
      </w:r>
      <w:r w:rsidR="00652AE5">
        <w:rPr>
          <w:sz w:val="28"/>
          <w:szCs w:val="28"/>
          <w:lang w:val="uk-UA"/>
        </w:rPr>
        <w:t>95,7</w:t>
      </w:r>
      <w:r>
        <w:rPr>
          <w:sz w:val="28"/>
          <w:szCs w:val="28"/>
        </w:rPr>
        <w:t xml:space="preserve"> відсотка до затверджених показників</w:t>
      </w:r>
      <w:r w:rsidR="004E4CBA">
        <w:rPr>
          <w:sz w:val="28"/>
          <w:szCs w:val="28"/>
          <w:lang w:val="uk-UA"/>
        </w:rPr>
        <w:t xml:space="preserve">. </w:t>
      </w:r>
      <w:r w:rsidR="00652AE5">
        <w:rPr>
          <w:sz w:val="28"/>
          <w:szCs w:val="28"/>
          <w:lang w:val="uk-UA"/>
        </w:rPr>
        <w:t>С</w:t>
      </w:r>
      <w:r w:rsidR="004E4CBA">
        <w:rPr>
          <w:sz w:val="28"/>
          <w:szCs w:val="28"/>
          <w:lang w:val="uk-UA"/>
        </w:rPr>
        <w:t>таном на 01.01.202</w:t>
      </w:r>
      <w:r w:rsidR="00652AE5">
        <w:rPr>
          <w:sz w:val="28"/>
          <w:szCs w:val="28"/>
          <w:lang w:val="uk-UA"/>
        </w:rPr>
        <w:t>2</w:t>
      </w:r>
      <w:r w:rsidR="004E4CBA">
        <w:rPr>
          <w:sz w:val="28"/>
          <w:szCs w:val="28"/>
          <w:lang w:val="uk-UA"/>
        </w:rPr>
        <w:t xml:space="preserve"> року згідно податкових звітів</w:t>
      </w:r>
      <w:r w:rsidR="00652AE5">
        <w:rPr>
          <w:sz w:val="28"/>
          <w:szCs w:val="28"/>
          <w:lang w:val="uk-UA"/>
        </w:rPr>
        <w:t xml:space="preserve"> є </w:t>
      </w:r>
      <w:r w:rsidR="004E4CBA">
        <w:rPr>
          <w:sz w:val="28"/>
          <w:szCs w:val="28"/>
          <w:lang w:val="uk-UA"/>
        </w:rPr>
        <w:t xml:space="preserve"> заборгованість з даного податку</w:t>
      </w:r>
      <w:r w:rsidR="00652AE5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1F7608" w:rsidRDefault="001F7608" w:rsidP="001F7608">
      <w:pPr>
        <w:ind w:firstLine="708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lastRenderedPageBreak/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суб»єктами господарювання роздрібної торгівлі підакцизних товарів за 202</w:t>
      </w:r>
      <w:r w:rsidR="007021FA">
        <w:rPr>
          <w:sz w:val="28"/>
          <w:szCs w:val="28"/>
          <w:lang w:val="uk-UA"/>
        </w:rPr>
        <w:t>1</w:t>
      </w:r>
      <w:r w:rsidRPr="007C4EB2">
        <w:rPr>
          <w:sz w:val="28"/>
          <w:szCs w:val="28"/>
          <w:lang w:val="uk-UA"/>
        </w:rPr>
        <w:t xml:space="preserve"> р</w:t>
      </w:r>
      <w:r w:rsidR="00652AE5">
        <w:rPr>
          <w:sz w:val="28"/>
          <w:szCs w:val="28"/>
          <w:lang w:val="uk-UA"/>
        </w:rPr>
        <w:t xml:space="preserve">ік </w:t>
      </w:r>
      <w:r w:rsidRPr="007C4EB2">
        <w:rPr>
          <w:sz w:val="28"/>
          <w:szCs w:val="28"/>
          <w:lang w:val="uk-UA"/>
        </w:rPr>
        <w:t>перераховано до бю</w:t>
      </w:r>
      <w:r w:rsidR="007021FA"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 w:rsidR="007021FA"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всього в обсязі</w:t>
      </w:r>
      <w:r w:rsidR="003323A1">
        <w:rPr>
          <w:sz w:val="28"/>
          <w:szCs w:val="28"/>
          <w:lang w:val="uk-UA"/>
        </w:rPr>
        <w:t xml:space="preserve"> </w:t>
      </w:r>
      <w:r w:rsidR="00652AE5">
        <w:rPr>
          <w:sz w:val="28"/>
          <w:szCs w:val="28"/>
          <w:lang w:val="uk-UA"/>
        </w:rPr>
        <w:t>815,7</w:t>
      </w:r>
      <w:r w:rsidRPr="004E4CBA">
        <w:rPr>
          <w:b/>
          <w:sz w:val="28"/>
          <w:szCs w:val="28"/>
          <w:lang w:val="uk-UA"/>
        </w:rPr>
        <w:t xml:space="preserve"> тис.грн</w:t>
      </w:r>
      <w:r w:rsidRPr="007C4EB2">
        <w:rPr>
          <w:sz w:val="28"/>
          <w:szCs w:val="28"/>
          <w:lang w:val="uk-UA"/>
        </w:rPr>
        <w:t xml:space="preserve">., при затвердженому плані </w:t>
      </w:r>
      <w:r w:rsidR="00652AE5">
        <w:rPr>
          <w:sz w:val="28"/>
          <w:szCs w:val="28"/>
          <w:lang w:val="uk-UA"/>
        </w:rPr>
        <w:t>797,0</w:t>
      </w:r>
      <w:r w:rsidR="004E4CBA" w:rsidRPr="004E4CBA">
        <w:rPr>
          <w:b/>
          <w:sz w:val="28"/>
          <w:szCs w:val="28"/>
          <w:lang w:val="uk-UA"/>
        </w:rPr>
        <w:t>т</w:t>
      </w:r>
      <w:r w:rsidRPr="004E4CBA">
        <w:rPr>
          <w:b/>
          <w:sz w:val="28"/>
          <w:szCs w:val="28"/>
          <w:lang w:val="uk-UA"/>
        </w:rPr>
        <w:t>ис.грн</w:t>
      </w:r>
      <w:r w:rsidRPr="007C4EB2">
        <w:rPr>
          <w:sz w:val="28"/>
          <w:szCs w:val="28"/>
          <w:lang w:val="uk-UA"/>
        </w:rPr>
        <w:t xml:space="preserve">.,  що склало </w:t>
      </w:r>
      <w:r w:rsidR="00652AE5">
        <w:rPr>
          <w:sz w:val="28"/>
          <w:szCs w:val="28"/>
          <w:lang w:val="uk-UA"/>
        </w:rPr>
        <w:t>102,3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r>
        <w:rPr>
          <w:sz w:val="28"/>
          <w:szCs w:val="28"/>
        </w:rPr>
        <w:t xml:space="preserve">Частини  акцизного податку з виробленого в Україні та ввезеного на митну територію України пального </w:t>
      </w:r>
      <w:r w:rsidR="00BF29DE">
        <w:rPr>
          <w:sz w:val="28"/>
          <w:szCs w:val="28"/>
          <w:lang w:val="uk-UA"/>
        </w:rPr>
        <w:t xml:space="preserve">– </w:t>
      </w:r>
      <w:r w:rsidR="003323A1">
        <w:rPr>
          <w:sz w:val="28"/>
          <w:szCs w:val="28"/>
          <w:lang w:val="uk-UA"/>
        </w:rPr>
        <w:t>4</w:t>
      </w:r>
      <w:r w:rsidR="00652AE5">
        <w:rPr>
          <w:sz w:val="28"/>
          <w:szCs w:val="28"/>
          <w:lang w:val="uk-UA"/>
        </w:rPr>
        <w:t>8,3</w:t>
      </w:r>
      <w:r w:rsidR="00BF29DE">
        <w:rPr>
          <w:sz w:val="28"/>
          <w:szCs w:val="28"/>
          <w:lang w:val="uk-UA"/>
        </w:rPr>
        <w:t xml:space="preserve"> тис.грн. та акцизного податку з реалізації тютюнових та алкогольних підакцизних товарів – </w:t>
      </w:r>
      <w:r w:rsidR="00652AE5">
        <w:rPr>
          <w:sz w:val="28"/>
          <w:szCs w:val="28"/>
          <w:lang w:val="uk-UA"/>
        </w:rPr>
        <w:t>766,7</w:t>
      </w:r>
      <w:r w:rsidR="00BF29DE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</w:rPr>
        <w:t xml:space="preserve">. </w:t>
      </w:r>
    </w:p>
    <w:p w:rsidR="001F7608" w:rsidRPr="00BF29DE" w:rsidRDefault="00BF29DE" w:rsidP="001F760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</w:t>
      </w:r>
      <w:r w:rsidR="004E4CBA">
        <w:rPr>
          <w:sz w:val="28"/>
          <w:szCs w:val="28"/>
          <w:lang w:val="uk-UA"/>
        </w:rPr>
        <w:t>0</w:t>
      </w:r>
      <w:r w:rsidR="00652AE5">
        <w:rPr>
          <w:sz w:val="28"/>
          <w:szCs w:val="28"/>
          <w:lang w:val="uk-UA"/>
        </w:rPr>
        <w:t>5</w:t>
      </w:r>
      <w:r w:rsidR="004E4CBA">
        <w:rPr>
          <w:sz w:val="28"/>
          <w:szCs w:val="28"/>
          <w:lang w:val="uk-UA"/>
        </w:rPr>
        <w:t>,</w:t>
      </w:r>
      <w:r w:rsidR="00652AE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відсотка</w:t>
      </w:r>
      <w:r w:rsidR="00F10A8A">
        <w:rPr>
          <w:sz w:val="28"/>
          <w:szCs w:val="28"/>
          <w:lang w:val="uk-UA"/>
        </w:rPr>
        <w:t>, що більше на 45,0 тис.грн..</w:t>
      </w: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 2021 р</w:t>
      </w:r>
      <w:r w:rsidR="00652AE5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склало </w:t>
      </w:r>
      <w:r w:rsidR="00652AE5" w:rsidRPr="00652AE5">
        <w:rPr>
          <w:b/>
          <w:sz w:val="28"/>
          <w:szCs w:val="28"/>
          <w:lang w:val="uk-UA"/>
        </w:rPr>
        <w:t>309,9</w:t>
      </w:r>
      <w:r w:rsidRPr="003323A1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., що 2</w:t>
      </w:r>
      <w:r w:rsidR="004E4CBA">
        <w:rPr>
          <w:sz w:val="28"/>
          <w:szCs w:val="28"/>
          <w:lang w:val="uk-UA"/>
        </w:rPr>
        <w:t>,</w:t>
      </w:r>
      <w:r w:rsidR="00652AE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рази більше </w:t>
      </w:r>
      <w:r w:rsidR="00652AE5">
        <w:rPr>
          <w:sz w:val="28"/>
          <w:szCs w:val="28"/>
          <w:lang w:val="uk-UA"/>
        </w:rPr>
        <w:t>затверлджених</w:t>
      </w:r>
      <w:r>
        <w:rPr>
          <w:sz w:val="28"/>
          <w:szCs w:val="28"/>
          <w:lang w:val="uk-UA"/>
        </w:rPr>
        <w:t xml:space="preserve"> показників.</w:t>
      </w: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r w:rsidRPr="00A46D0F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</w:t>
      </w:r>
      <w:r w:rsidRPr="0012596E">
        <w:rPr>
          <w:b/>
          <w:sz w:val="28"/>
          <w:szCs w:val="28"/>
        </w:rPr>
        <w:t>рентної плати</w:t>
      </w:r>
      <w:r>
        <w:rPr>
          <w:sz w:val="28"/>
          <w:szCs w:val="28"/>
        </w:rPr>
        <w:t xml:space="preserve"> </w:t>
      </w:r>
      <w:r w:rsidRPr="000A21F3">
        <w:rPr>
          <w:b/>
          <w:sz w:val="28"/>
          <w:szCs w:val="28"/>
        </w:rPr>
        <w:t>за спеціальне використання лісових ресурсів</w:t>
      </w:r>
      <w:r>
        <w:rPr>
          <w:sz w:val="28"/>
          <w:szCs w:val="28"/>
        </w:rPr>
        <w:t xml:space="preserve"> склали </w:t>
      </w:r>
      <w:r w:rsidR="000E60A7">
        <w:rPr>
          <w:sz w:val="28"/>
          <w:szCs w:val="28"/>
          <w:lang w:val="uk-UA"/>
        </w:rPr>
        <w:t>1</w:t>
      </w:r>
      <w:r w:rsidR="00652AE5">
        <w:rPr>
          <w:sz w:val="28"/>
          <w:szCs w:val="28"/>
          <w:lang w:val="uk-UA"/>
        </w:rPr>
        <w:t>67,7</w:t>
      </w:r>
      <w:r w:rsidRPr="00BF29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тис.грн., при запланованих показниках  на 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</w:t>
      </w:r>
      <w:r w:rsidR="00652AE5">
        <w:rPr>
          <w:sz w:val="28"/>
          <w:szCs w:val="28"/>
          <w:lang w:val="uk-UA"/>
        </w:rPr>
        <w:t>ік  75</w:t>
      </w:r>
      <w:r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тис.грн., що</w:t>
      </w:r>
      <w:r w:rsidR="003323A1">
        <w:rPr>
          <w:sz w:val="28"/>
          <w:szCs w:val="28"/>
          <w:lang w:val="uk-UA"/>
        </w:rPr>
        <w:t xml:space="preserve"> більше в 2,</w:t>
      </w:r>
      <w:r w:rsidR="00652AE5">
        <w:rPr>
          <w:sz w:val="28"/>
          <w:szCs w:val="28"/>
          <w:lang w:val="uk-UA"/>
        </w:rPr>
        <w:t>2</w:t>
      </w:r>
      <w:r w:rsidR="003323A1">
        <w:rPr>
          <w:sz w:val="28"/>
          <w:szCs w:val="28"/>
          <w:lang w:val="uk-UA"/>
        </w:rPr>
        <w:t xml:space="preserve"> рази</w:t>
      </w:r>
      <w:r>
        <w:rPr>
          <w:sz w:val="28"/>
          <w:szCs w:val="28"/>
        </w:rPr>
        <w:t xml:space="preserve">. </w:t>
      </w:r>
    </w:p>
    <w:p w:rsidR="002C452A" w:rsidRPr="002C452A" w:rsidRDefault="002C452A" w:rsidP="00BF29DE">
      <w:pPr>
        <w:ind w:firstLine="708"/>
        <w:outlineLvl w:val="0"/>
        <w:rPr>
          <w:sz w:val="28"/>
          <w:szCs w:val="28"/>
          <w:lang w:val="uk-UA"/>
        </w:rPr>
      </w:pPr>
    </w:p>
    <w:p w:rsidR="002C452A" w:rsidRPr="002C452A" w:rsidRDefault="001F7608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  <w:r w:rsidRPr="008B2B60">
        <w:rPr>
          <w:b/>
          <w:i/>
          <w:sz w:val="44"/>
          <w:szCs w:val="44"/>
          <w:u w:val="single"/>
        </w:rPr>
        <w:t>Структура надходжень</w:t>
      </w:r>
    </w:p>
    <w:p w:rsidR="001F7608" w:rsidRPr="00CB4236" w:rsidRDefault="001F7608" w:rsidP="001F7608">
      <w:pPr>
        <w:jc w:val="center"/>
        <w:rPr>
          <w:i/>
          <w:sz w:val="40"/>
          <w:szCs w:val="40"/>
        </w:rPr>
      </w:pPr>
      <w:r w:rsidRPr="00CB4236">
        <w:rPr>
          <w:i/>
          <w:sz w:val="32"/>
          <w:szCs w:val="32"/>
        </w:rPr>
        <w:t xml:space="preserve">загального фонду </w:t>
      </w:r>
      <w:r w:rsidRPr="00CB4236">
        <w:rPr>
          <w:i/>
          <w:sz w:val="40"/>
          <w:szCs w:val="40"/>
        </w:rPr>
        <w:t xml:space="preserve"> </w:t>
      </w:r>
    </w:p>
    <w:p w:rsidR="001F7608" w:rsidRPr="00CB4236" w:rsidRDefault="001F7608" w:rsidP="001F7608">
      <w:pPr>
        <w:jc w:val="center"/>
        <w:rPr>
          <w:b/>
          <w:i/>
          <w:sz w:val="40"/>
          <w:szCs w:val="40"/>
          <w:u w:val="single"/>
        </w:rPr>
      </w:pPr>
      <w:r w:rsidRPr="00CB4236">
        <w:rPr>
          <w:b/>
          <w:i/>
          <w:sz w:val="40"/>
          <w:szCs w:val="40"/>
          <w:u w:val="single"/>
        </w:rPr>
        <w:t>Білківської сільської територіальної громади</w:t>
      </w:r>
    </w:p>
    <w:p w:rsidR="001F7608" w:rsidRPr="00CB4236" w:rsidRDefault="001F7608" w:rsidP="001F7608">
      <w:pPr>
        <w:ind w:firstLine="708"/>
        <w:jc w:val="center"/>
        <w:rPr>
          <w:b/>
          <w:i/>
          <w:sz w:val="40"/>
          <w:szCs w:val="40"/>
          <w:u w:val="single"/>
        </w:rPr>
      </w:pPr>
    </w:p>
    <w:p w:rsidR="003323A1" w:rsidRDefault="00BF29DE" w:rsidP="001F7608">
      <w:pPr>
        <w:ind w:firstLine="708"/>
        <w:jc w:val="center"/>
        <w:rPr>
          <w:b/>
          <w:sz w:val="40"/>
          <w:szCs w:val="40"/>
          <w:lang w:val="uk-UA"/>
        </w:rPr>
      </w:pPr>
      <w:r w:rsidRPr="00CB4236">
        <w:rPr>
          <w:b/>
          <w:i/>
          <w:sz w:val="40"/>
          <w:szCs w:val="40"/>
          <w:u w:val="single"/>
          <w:lang w:val="uk-UA"/>
        </w:rPr>
        <w:t>з</w:t>
      </w:r>
      <w:r w:rsidR="001F7608" w:rsidRPr="00CB4236">
        <w:rPr>
          <w:b/>
          <w:i/>
          <w:sz w:val="40"/>
          <w:szCs w:val="40"/>
          <w:u w:val="single"/>
        </w:rPr>
        <w:t>а 202</w:t>
      </w:r>
      <w:r w:rsidRPr="00CB4236">
        <w:rPr>
          <w:b/>
          <w:i/>
          <w:sz w:val="40"/>
          <w:szCs w:val="40"/>
          <w:u w:val="single"/>
          <w:lang w:val="uk-UA"/>
        </w:rPr>
        <w:t>1</w:t>
      </w:r>
      <w:r w:rsidR="001F7608" w:rsidRPr="00CB4236">
        <w:rPr>
          <w:b/>
          <w:i/>
          <w:sz w:val="40"/>
          <w:szCs w:val="40"/>
          <w:u w:val="single"/>
        </w:rPr>
        <w:t xml:space="preserve"> р</w:t>
      </w:r>
      <w:r w:rsidR="00652AE5">
        <w:rPr>
          <w:b/>
          <w:i/>
          <w:sz w:val="40"/>
          <w:szCs w:val="40"/>
          <w:u w:val="single"/>
          <w:lang w:val="uk-UA"/>
        </w:rPr>
        <w:t>ік</w:t>
      </w:r>
      <w:r w:rsidR="001F7608" w:rsidRPr="00CB4236">
        <w:rPr>
          <w:b/>
          <w:sz w:val="40"/>
          <w:szCs w:val="40"/>
        </w:rPr>
        <w:t xml:space="preserve">           </w:t>
      </w:r>
    </w:p>
    <w:p w:rsidR="001F7608" w:rsidRPr="00CB4236" w:rsidRDefault="003323A1" w:rsidP="001F7608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="00CB4236" w:rsidRPr="00CB4236">
        <w:rPr>
          <w:b/>
          <w:sz w:val="20"/>
          <w:szCs w:val="20"/>
          <w:lang w:val="uk-UA"/>
        </w:rPr>
        <w:t>(тис.грн.)</w:t>
      </w:r>
      <w:r w:rsidR="001F7608"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52A" w:rsidRDefault="002C452A" w:rsidP="001F7608">
      <w:pPr>
        <w:tabs>
          <w:tab w:val="left" w:pos="-360"/>
        </w:tabs>
        <w:ind w:right="-81"/>
        <w:rPr>
          <w:sz w:val="28"/>
          <w:szCs w:val="28"/>
          <w:lang w:val="uk-UA"/>
        </w:rPr>
      </w:pPr>
    </w:p>
    <w:p w:rsidR="001F7608" w:rsidRDefault="000C1203" w:rsidP="001F7608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0E60A7" w:rsidRDefault="001F7608" w:rsidP="001F7608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У звітньому періоді </w:t>
      </w:r>
      <w:r w:rsidR="00CB4236"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</w:t>
      </w:r>
      <w:r w:rsidR="000E60A7">
        <w:rPr>
          <w:b/>
          <w:sz w:val="28"/>
          <w:szCs w:val="28"/>
          <w:lang w:val="uk-UA"/>
        </w:rPr>
        <w:t>:</w:t>
      </w:r>
    </w:p>
    <w:p w:rsidR="001F7608" w:rsidRDefault="001F7608" w:rsidP="001F7608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t xml:space="preserve"> </w:t>
      </w:r>
      <w:r w:rsidR="003C072B">
        <w:rPr>
          <w:b/>
          <w:sz w:val="28"/>
          <w:szCs w:val="28"/>
          <w:lang w:val="uk-UA"/>
        </w:rPr>
        <w:t>Б</w:t>
      </w:r>
      <w:r w:rsidRPr="0092533F">
        <w:rPr>
          <w:b/>
          <w:sz w:val="28"/>
          <w:szCs w:val="28"/>
        </w:rPr>
        <w:t>азову дотацію</w:t>
      </w:r>
      <w:r>
        <w:rPr>
          <w:sz w:val="28"/>
          <w:szCs w:val="28"/>
        </w:rPr>
        <w:t xml:space="preserve">  в сумі </w:t>
      </w:r>
      <w:r w:rsidR="00652AE5">
        <w:rPr>
          <w:sz w:val="28"/>
          <w:szCs w:val="28"/>
          <w:lang w:val="uk-UA"/>
        </w:rPr>
        <w:t xml:space="preserve"> </w:t>
      </w:r>
      <w:r w:rsidR="00652AE5" w:rsidRPr="00652AE5">
        <w:rPr>
          <w:b/>
          <w:sz w:val="28"/>
          <w:szCs w:val="28"/>
          <w:lang w:val="uk-UA"/>
        </w:rPr>
        <w:t>35 383,</w:t>
      </w:r>
      <w:r w:rsidR="00652AE5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="001F7608" w:rsidRPr="00AE3CDF">
        <w:rPr>
          <w:b/>
          <w:sz w:val="28"/>
          <w:szCs w:val="28"/>
        </w:rPr>
        <w:t>убвенцій з державного бюджету</w:t>
      </w:r>
      <w:r w:rsidR="001F76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 w:rsidR="001F7608">
        <w:rPr>
          <w:sz w:val="28"/>
          <w:szCs w:val="28"/>
        </w:rPr>
        <w:t>протягом 202</w:t>
      </w:r>
      <w:r>
        <w:rPr>
          <w:sz w:val="28"/>
          <w:szCs w:val="28"/>
          <w:lang w:val="uk-UA"/>
        </w:rPr>
        <w:t>1</w:t>
      </w:r>
      <w:r w:rsidR="001F7608">
        <w:rPr>
          <w:sz w:val="28"/>
          <w:szCs w:val="28"/>
        </w:rPr>
        <w:t xml:space="preserve"> року в обсязі </w:t>
      </w:r>
      <w:r w:rsidR="001F7608"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 w:rsidR="00652AE5">
        <w:rPr>
          <w:b/>
          <w:sz w:val="28"/>
          <w:szCs w:val="28"/>
          <w:lang w:val="uk-UA"/>
        </w:rPr>
        <w:t>75 627,1</w:t>
      </w:r>
      <w:r w:rsidR="001F7608" w:rsidRPr="002D152B">
        <w:rPr>
          <w:b/>
          <w:sz w:val="28"/>
          <w:szCs w:val="28"/>
        </w:rPr>
        <w:t xml:space="preserve"> тис. грн</w:t>
      </w:r>
      <w:r w:rsidR="001F7608">
        <w:rPr>
          <w:sz w:val="28"/>
          <w:szCs w:val="28"/>
        </w:rPr>
        <w:t>..</w:t>
      </w:r>
    </w:p>
    <w:p w:rsidR="000E60A7" w:rsidRDefault="000E60A7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соціально економічний розвиток території </w:t>
      </w:r>
      <w:r w:rsidR="00652AE5" w:rsidRPr="00652AE5">
        <w:rPr>
          <w:b/>
          <w:sz w:val="28"/>
          <w:szCs w:val="28"/>
          <w:lang w:val="uk-UA"/>
        </w:rPr>
        <w:t>2690,0</w:t>
      </w:r>
      <w:r>
        <w:rPr>
          <w:sz w:val="28"/>
          <w:szCs w:val="28"/>
          <w:lang w:val="uk-UA"/>
        </w:rPr>
        <w:t xml:space="preserve"> тис.грн</w:t>
      </w:r>
      <w:r w:rsidR="008926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89264E" w:rsidRDefault="0089264E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Субвенцію по Програмі Спроможна школа для кра</w:t>
      </w:r>
      <w:r w:rsidR="003C072B">
        <w:rPr>
          <w:sz w:val="28"/>
          <w:szCs w:val="28"/>
          <w:lang w:val="uk-UA"/>
        </w:rPr>
        <w:t xml:space="preserve">щих результатів – </w:t>
      </w:r>
      <w:r w:rsidR="00652AE5">
        <w:rPr>
          <w:b/>
          <w:sz w:val="28"/>
          <w:szCs w:val="28"/>
          <w:lang w:val="uk-UA"/>
        </w:rPr>
        <w:t>10888</w:t>
      </w:r>
      <w:r w:rsidR="003C072B" w:rsidRPr="003C072B">
        <w:rPr>
          <w:b/>
          <w:sz w:val="28"/>
          <w:szCs w:val="28"/>
          <w:lang w:val="uk-UA"/>
        </w:rPr>
        <w:t xml:space="preserve"> тис.грн..</w:t>
      </w:r>
    </w:p>
    <w:p w:rsidR="000E60A7" w:rsidRPr="000E60A7" w:rsidRDefault="000E60A7" w:rsidP="001F7608">
      <w:pPr>
        <w:ind w:firstLine="708"/>
        <w:jc w:val="both"/>
        <w:rPr>
          <w:sz w:val="28"/>
          <w:szCs w:val="28"/>
          <w:lang w:val="uk-UA"/>
        </w:rPr>
      </w:pP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додаткову дотацію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D05E67">
        <w:rPr>
          <w:b/>
          <w:sz w:val="28"/>
          <w:szCs w:val="28"/>
          <w:lang w:val="uk-UA"/>
        </w:rPr>
        <w:t>3466,3</w:t>
      </w:r>
      <w:r w:rsidR="00392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тис.грн.;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 xml:space="preserve">– </w:t>
      </w:r>
      <w:r w:rsidR="00D05E67">
        <w:rPr>
          <w:b/>
          <w:sz w:val="28"/>
          <w:szCs w:val="28"/>
          <w:lang w:val="uk-UA"/>
        </w:rPr>
        <w:t>573,6</w:t>
      </w:r>
      <w:r>
        <w:rPr>
          <w:sz w:val="28"/>
          <w:szCs w:val="28"/>
          <w:lang w:val="uk-UA"/>
        </w:rPr>
        <w:t xml:space="preserve"> тис.грн.;</w:t>
      </w:r>
    </w:p>
    <w:p w:rsidR="001F7608" w:rsidRP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(на цукровий діабет) – </w:t>
      </w:r>
      <w:r w:rsidR="00D05E67" w:rsidRPr="00D05E67">
        <w:rPr>
          <w:b/>
          <w:sz w:val="28"/>
          <w:szCs w:val="28"/>
          <w:lang w:val="uk-UA"/>
        </w:rPr>
        <w:t>484,4</w:t>
      </w:r>
      <w:r>
        <w:rPr>
          <w:sz w:val="28"/>
          <w:szCs w:val="28"/>
          <w:lang w:val="uk-UA"/>
        </w:rPr>
        <w:t xml:space="preserve"> тис.грн.. </w:t>
      </w:r>
      <w:r w:rsidR="001F7608" w:rsidRPr="00CB4236">
        <w:rPr>
          <w:sz w:val="28"/>
          <w:szCs w:val="28"/>
          <w:lang w:val="uk-UA"/>
        </w:rPr>
        <w:t xml:space="preserve"> </w:t>
      </w:r>
    </w:p>
    <w:p w:rsidR="001F7608" w:rsidRDefault="003C072B" w:rsidP="003C072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субвенція для НУШ – </w:t>
      </w:r>
      <w:r w:rsidR="00D05E67" w:rsidRPr="00D05E67">
        <w:rPr>
          <w:b/>
          <w:sz w:val="28"/>
          <w:szCs w:val="28"/>
          <w:lang w:val="uk-UA"/>
        </w:rPr>
        <w:t>785,4</w:t>
      </w:r>
      <w:r>
        <w:rPr>
          <w:sz w:val="28"/>
          <w:szCs w:val="28"/>
          <w:lang w:val="uk-UA"/>
        </w:rPr>
        <w:t xml:space="preserve"> тис.грн..</w:t>
      </w:r>
    </w:p>
    <w:p w:rsidR="00CB6490" w:rsidRDefault="00CB6490" w:rsidP="001F7608">
      <w:pPr>
        <w:ind w:firstLine="705"/>
        <w:jc w:val="both"/>
        <w:rPr>
          <w:sz w:val="28"/>
          <w:szCs w:val="28"/>
          <w:lang w:val="uk-UA"/>
        </w:rPr>
      </w:pPr>
    </w:p>
    <w:p w:rsidR="001F7608" w:rsidRPr="003928EF" w:rsidRDefault="001F7608" w:rsidP="001F7608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бюджет</w:t>
      </w:r>
      <w:r w:rsidR="00CB6490">
        <w:rPr>
          <w:sz w:val="28"/>
          <w:szCs w:val="28"/>
          <w:lang w:val="uk-UA"/>
        </w:rPr>
        <w:t>у громади</w:t>
      </w:r>
      <w:r w:rsidRPr="00CB4236">
        <w:rPr>
          <w:sz w:val="28"/>
          <w:szCs w:val="28"/>
          <w:lang w:val="uk-UA"/>
        </w:rPr>
        <w:t xml:space="preserve"> за 202</w:t>
      </w:r>
      <w:r w:rsidR="00CB4236">
        <w:rPr>
          <w:sz w:val="28"/>
          <w:szCs w:val="28"/>
          <w:lang w:val="uk-UA"/>
        </w:rPr>
        <w:t>1</w:t>
      </w:r>
      <w:r w:rsidRPr="00CB4236">
        <w:rPr>
          <w:sz w:val="28"/>
          <w:szCs w:val="28"/>
          <w:lang w:val="uk-UA"/>
        </w:rPr>
        <w:t xml:space="preserve"> р</w:t>
      </w:r>
      <w:r w:rsidR="00D05E67">
        <w:rPr>
          <w:sz w:val="28"/>
          <w:szCs w:val="28"/>
          <w:lang w:val="uk-UA"/>
        </w:rPr>
        <w:t>ік</w:t>
      </w:r>
      <w:r w:rsidRPr="00CB4236">
        <w:rPr>
          <w:sz w:val="28"/>
          <w:szCs w:val="28"/>
          <w:lang w:val="uk-UA"/>
        </w:rPr>
        <w:t xml:space="preserve"> виконані в сумі </w:t>
      </w:r>
      <w:r w:rsidR="00D05E67" w:rsidRPr="00D05E67">
        <w:rPr>
          <w:b/>
          <w:sz w:val="28"/>
          <w:szCs w:val="28"/>
          <w:lang w:val="uk-UA"/>
        </w:rPr>
        <w:t>2 933,7</w:t>
      </w:r>
      <w:r w:rsidRPr="003C072B">
        <w:rPr>
          <w:b/>
          <w:sz w:val="28"/>
          <w:szCs w:val="28"/>
          <w:lang w:val="uk-UA"/>
        </w:rPr>
        <w:t xml:space="preserve"> тис.грн</w:t>
      </w:r>
      <w:r w:rsidRPr="00CB4236">
        <w:rPr>
          <w:sz w:val="28"/>
          <w:szCs w:val="28"/>
          <w:lang w:val="uk-UA"/>
        </w:rPr>
        <w:t xml:space="preserve">., що складає </w:t>
      </w:r>
      <w:r w:rsidR="00D05E67">
        <w:rPr>
          <w:sz w:val="28"/>
          <w:szCs w:val="28"/>
          <w:lang w:val="uk-UA"/>
        </w:rPr>
        <w:t>91,0</w:t>
      </w:r>
      <w:r w:rsidR="002D1F84">
        <w:rPr>
          <w:sz w:val="28"/>
          <w:szCs w:val="28"/>
          <w:lang w:val="uk-UA"/>
        </w:rPr>
        <w:t xml:space="preserve">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 w:rsidR="002D1F84"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 w:rsidR="002D1F84">
        <w:rPr>
          <w:sz w:val="28"/>
          <w:szCs w:val="28"/>
          <w:lang w:val="uk-UA"/>
        </w:rPr>
        <w:t>1</w:t>
      </w:r>
      <w:r w:rsidRPr="003928EF">
        <w:rPr>
          <w:sz w:val="28"/>
          <w:szCs w:val="28"/>
          <w:lang w:val="uk-UA"/>
        </w:rPr>
        <w:t xml:space="preserve"> р</w:t>
      </w:r>
      <w:r w:rsidR="002D1F84"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1F7608" w:rsidRDefault="001F7608" w:rsidP="003928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Фактичні надходження до </w:t>
      </w:r>
      <w:r>
        <w:rPr>
          <w:b/>
          <w:sz w:val="28"/>
          <w:szCs w:val="28"/>
        </w:rPr>
        <w:t>бюджет</w:t>
      </w:r>
      <w:r w:rsidR="002D1F8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 w:rsidR="00EF5651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</w:t>
      </w:r>
      <w:r w:rsidR="00D05E67"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склали –</w:t>
      </w:r>
      <w:r w:rsidR="003C072B">
        <w:rPr>
          <w:sz w:val="28"/>
          <w:szCs w:val="28"/>
          <w:lang w:val="uk-UA"/>
        </w:rPr>
        <w:t xml:space="preserve"> </w:t>
      </w:r>
      <w:r w:rsidR="00D05E67" w:rsidRPr="00D05E67">
        <w:rPr>
          <w:b/>
          <w:sz w:val="28"/>
          <w:szCs w:val="28"/>
          <w:lang w:val="uk-UA"/>
        </w:rPr>
        <w:t>304,2</w:t>
      </w:r>
      <w:r>
        <w:rPr>
          <w:sz w:val="28"/>
          <w:szCs w:val="28"/>
        </w:rPr>
        <w:t xml:space="preserve"> тис.грн., що склало </w:t>
      </w:r>
      <w:r w:rsidR="003C072B">
        <w:rPr>
          <w:sz w:val="28"/>
          <w:szCs w:val="28"/>
          <w:lang w:val="uk-UA"/>
        </w:rPr>
        <w:t>1</w:t>
      </w:r>
      <w:r w:rsidR="00D05E67">
        <w:rPr>
          <w:sz w:val="28"/>
          <w:szCs w:val="28"/>
          <w:lang w:val="uk-UA"/>
        </w:rPr>
        <w:t>48,9</w:t>
      </w:r>
      <w:r>
        <w:rPr>
          <w:sz w:val="28"/>
          <w:szCs w:val="28"/>
        </w:rPr>
        <w:t xml:space="preserve"> відсотка до плану. Власні надходження бюджетних установ впродовж  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– </w:t>
      </w:r>
      <w:r w:rsidR="00D05E67" w:rsidRPr="00D05E67">
        <w:rPr>
          <w:b/>
          <w:sz w:val="28"/>
          <w:szCs w:val="28"/>
          <w:lang w:val="uk-UA"/>
        </w:rPr>
        <w:t>2601,1</w:t>
      </w:r>
      <w:r w:rsidRPr="003C072B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>. при затве</w:t>
      </w:r>
      <w:r w:rsidR="003C072B"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дженому плані на рік </w:t>
      </w:r>
      <w:r w:rsidR="002D1F84">
        <w:rPr>
          <w:sz w:val="28"/>
          <w:szCs w:val="28"/>
          <w:lang w:val="uk-UA"/>
        </w:rPr>
        <w:t>30</w:t>
      </w:r>
      <w:r w:rsidR="003928EF">
        <w:rPr>
          <w:sz w:val="28"/>
          <w:szCs w:val="28"/>
          <w:lang w:val="uk-UA"/>
        </w:rPr>
        <w:t>1</w:t>
      </w:r>
      <w:r w:rsidR="002D1F84">
        <w:rPr>
          <w:sz w:val="28"/>
          <w:szCs w:val="28"/>
          <w:lang w:val="uk-UA"/>
        </w:rPr>
        <w:t>3,6</w:t>
      </w:r>
      <w:r>
        <w:rPr>
          <w:sz w:val="28"/>
          <w:szCs w:val="28"/>
        </w:rPr>
        <w:t xml:space="preserve">  тис.грн., що становить </w:t>
      </w:r>
      <w:r w:rsidR="00D05E67">
        <w:rPr>
          <w:sz w:val="28"/>
          <w:szCs w:val="28"/>
          <w:lang w:val="uk-UA"/>
        </w:rPr>
        <w:t>86,3</w:t>
      </w:r>
      <w:r>
        <w:rPr>
          <w:sz w:val="28"/>
          <w:szCs w:val="28"/>
        </w:rPr>
        <w:t xml:space="preserve">  відсотка до плану</w:t>
      </w:r>
      <w:r w:rsidR="003928EF">
        <w:rPr>
          <w:sz w:val="28"/>
          <w:szCs w:val="28"/>
          <w:lang w:val="uk-UA"/>
        </w:rPr>
        <w:t xml:space="preserve"> на звітній період</w:t>
      </w:r>
      <w:r>
        <w:rPr>
          <w:sz w:val="28"/>
          <w:szCs w:val="28"/>
        </w:rPr>
        <w:t>.</w:t>
      </w:r>
    </w:p>
    <w:p w:rsidR="001F7608" w:rsidRDefault="001F7608" w:rsidP="001F7608">
      <w:pPr>
        <w:ind w:firstLine="705"/>
        <w:jc w:val="both"/>
        <w:rPr>
          <w:sz w:val="28"/>
          <w:szCs w:val="28"/>
        </w:rPr>
      </w:pPr>
    </w:p>
    <w:p w:rsidR="002A416E" w:rsidRPr="003928EF" w:rsidRDefault="001F7608" w:rsidP="003928EF">
      <w:pPr>
        <w:rPr>
          <w:sz w:val="28"/>
          <w:szCs w:val="28"/>
          <w:lang w:val="uk-UA"/>
        </w:rPr>
      </w:pPr>
      <w:r>
        <w:rPr>
          <w:b/>
          <w:sz w:val="32"/>
          <w:szCs w:val="32"/>
        </w:rPr>
        <w:tab/>
      </w:r>
    </w:p>
    <w:p w:rsidR="00E3109C" w:rsidRDefault="00E3109C" w:rsidP="00514BB4">
      <w:pPr>
        <w:ind w:firstLine="708"/>
        <w:jc w:val="both"/>
        <w:rPr>
          <w:sz w:val="28"/>
          <w:szCs w:val="28"/>
          <w:lang w:val="uk-UA"/>
        </w:rPr>
      </w:pPr>
    </w:p>
    <w:p w:rsidR="005E4E77" w:rsidRDefault="0014271E" w:rsidP="00514BB4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End w:id="0"/>
      <w:bookmarkEnd w:id="1"/>
      <w:r w:rsidR="005E4E77" w:rsidRPr="003928EF">
        <w:rPr>
          <w:b/>
          <w:sz w:val="32"/>
          <w:szCs w:val="32"/>
          <w:lang w:val="uk-UA"/>
        </w:rPr>
        <w:t>Стан виконання бюджет</w:t>
      </w:r>
      <w:r w:rsidR="00514BB4">
        <w:rPr>
          <w:b/>
          <w:sz w:val="32"/>
          <w:szCs w:val="32"/>
          <w:lang w:val="uk-UA"/>
        </w:rPr>
        <w:t>у</w:t>
      </w:r>
      <w:r w:rsidR="005E4E77" w:rsidRPr="003928EF">
        <w:rPr>
          <w:b/>
          <w:sz w:val="32"/>
          <w:szCs w:val="32"/>
          <w:lang w:val="uk-UA"/>
        </w:rPr>
        <w:t xml:space="preserve"> за видатками</w:t>
      </w:r>
    </w:p>
    <w:p w:rsidR="00514BB4" w:rsidRPr="00514BB4" w:rsidRDefault="00514BB4" w:rsidP="00514BB4">
      <w:pPr>
        <w:ind w:firstLine="708"/>
        <w:jc w:val="both"/>
        <w:rPr>
          <w:sz w:val="28"/>
          <w:szCs w:val="28"/>
          <w:lang w:val="uk-UA"/>
        </w:rPr>
      </w:pPr>
    </w:p>
    <w:p w:rsidR="000C4075" w:rsidRDefault="00514BB4" w:rsidP="002C452A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4E77" w:rsidRPr="00514BB4">
        <w:rPr>
          <w:sz w:val="28"/>
          <w:szCs w:val="28"/>
          <w:lang w:val="uk-UA"/>
        </w:rPr>
        <w:t xml:space="preserve"> </w:t>
      </w:r>
      <w:r w:rsidR="005E4E77"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="005E4E77" w:rsidRPr="00514BB4">
        <w:rPr>
          <w:sz w:val="28"/>
          <w:szCs w:val="28"/>
          <w:lang w:val="uk-UA"/>
        </w:rPr>
        <w:t xml:space="preserve"> (з урахуванням коштів субвенцій з державного</w:t>
      </w:r>
      <w:r w:rsidR="002C452A">
        <w:rPr>
          <w:sz w:val="28"/>
          <w:szCs w:val="28"/>
          <w:lang w:val="uk-UA"/>
        </w:rPr>
        <w:t xml:space="preserve"> та обласного</w:t>
      </w:r>
      <w:r w:rsidR="005E4E77" w:rsidRPr="00514BB4">
        <w:rPr>
          <w:sz w:val="28"/>
          <w:szCs w:val="28"/>
          <w:lang w:val="uk-UA"/>
        </w:rPr>
        <w:t xml:space="preserve"> бюджету) у  202</w:t>
      </w:r>
      <w:r>
        <w:rPr>
          <w:sz w:val="28"/>
          <w:szCs w:val="28"/>
          <w:lang w:val="uk-UA"/>
        </w:rPr>
        <w:t>1</w:t>
      </w:r>
      <w:r w:rsidR="005E4E77" w:rsidRPr="00514BB4">
        <w:rPr>
          <w:sz w:val="28"/>
          <w:szCs w:val="28"/>
          <w:lang w:val="uk-UA"/>
        </w:rPr>
        <w:t xml:space="preserve"> року склали </w:t>
      </w:r>
      <w:r w:rsidR="003928EF">
        <w:rPr>
          <w:sz w:val="28"/>
          <w:szCs w:val="28"/>
          <w:lang w:val="uk-UA"/>
        </w:rPr>
        <w:t xml:space="preserve"> </w:t>
      </w:r>
      <w:r w:rsidR="000C4075" w:rsidRPr="000C4075">
        <w:rPr>
          <w:b/>
          <w:sz w:val="28"/>
          <w:szCs w:val="28"/>
          <w:lang w:val="uk-UA"/>
        </w:rPr>
        <w:t>1</w:t>
      </w:r>
      <w:r w:rsidR="00D05E67">
        <w:rPr>
          <w:b/>
          <w:sz w:val="28"/>
          <w:szCs w:val="28"/>
          <w:lang w:val="uk-UA"/>
        </w:rPr>
        <w:t>48 976,1</w:t>
      </w:r>
      <w:r w:rsidR="005E4E77" w:rsidRPr="003928EF">
        <w:rPr>
          <w:b/>
          <w:sz w:val="28"/>
          <w:szCs w:val="28"/>
          <w:lang w:val="uk-UA"/>
        </w:rPr>
        <w:t xml:space="preserve">  тис.грн.,</w:t>
      </w:r>
      <w:r w:rsidR="005E4E77" w:rsidRPr="00514BB4">
        <w:rPr>
          <w:sz w:val="28"/>
          <w:szCs w:val="28"/>
          <w:lang w:val="uk-UA"/>
        </w:rPr>
        <w:t xml:space="preserve">  в тому числі видатки </w:t>
      </w:r>
      <w:r w:rsidR="005E4E77" w:rsidRPr="00514BB4">
        <w:rPr>
          <w:b/>
          <w:bCs/>
          <w:sz w:val="28"/>
          <w:szCs w:val="28"/>
          <w:lang w:val="uk-UA"/>
        </w:rPr>
        <w:t xml:space="preserve">загального </w:t>
      </w:r>
      <w:r w:rsidR="005E4E77" w:rsidRPr="00514BB4">
        <w:rPr>
          <w:sz w:val="28"/>
          <w:szCs w:val="28"/>
          <w:lang w:val="uk-UA"/>
        </w:rPr>
        <w:t xml:space="preserve">фонду – </w:t>
      </w:r>
      <w:r w:rsidR="000C4075" w:rsidRPr="000C4075">
        <w:rPr>
          <w:b/>
          <w:sz w:val="28"/>
          <w:szCs w:val="28"/>
          <w:lang w:val="uk-UA"/>
        </w:rPr>
        <w:t>1</w:t>
      </w:r>
      <w:r w:rsidR="00D05E67">
        <w:rPr>
          <w:b/>
          <w:sz w:val="28"/>
          <w:szCs w:val="28"/>
          <w:lang w:val="uk-UA"/>
        </w:rPr>
        <w:t>45 902,8</w:t>
      </w:r>
      <w:r w:rsidR="005E4E77" w:rsidRPr="003928EF">
        <w:rPr>
          <w:b/>
          <w:sz w:val="28"/>
          <w:szCs w:val="28"/>
          <w:lang w:val="uk-UA"/>
        </w:rPr>
        <w:t xml:space="preserve"> тис</w:t>
      </w:r>
      <w:r w:rsidR="005E4E77" w:rsidRPr="00514BB4">
        <w:rPr>
          <w:sz w:val="28"/>
          <w:szCs w:val="28"/>
          <w:lang w:val="uk-UA"/>
        </w:rPr>
        <w:t xml:space="preserve">. грн. або </w:t>
      </w:r>
      <w:r w:rsidR="00D05E67">
        <w:rPr>
          <w:sz w:val="28"/>
          <w:szCs w:val="28"/>
          <w:lang w:val="uk-UA"/>
        </w:rPr>
        <w:t>98,1</w:t>
      </w:r>
      <w:r w:rsidR="005E4E77" w:rsidRPr="00514BB4">
        <w:rPr>
          <w:sz w:val="28"/>
          <w:szCs w:val="28"/>
          <w:lang w:val="uk-UA"/>
        </w:rPr>
        <w:t xml:space="preserve"> відсотка  уточненого плану на рік, </w:t>
      </w:r>
      <w:r w:rsidR="005E4E77" w:rsidRPr="00514BB4">
        <w:rPr>
          <w:b/>
          <w:bCs/>
          <w:sz w:val="28"/>
          <w:szCs w:val="28"/>
          <w:lang w:val="uk-UA"/>
        </w:rPr>
        <w:t>спеціального</w:t>
      </w:r>
      <w:r w:rsidR="005E4E77" w:rsidRPr="00514BB4">
        <w:rPr>
          <w:sz w:val="28"/>
          <w:szCs w:val="28"/>
          <w:lang w:val="uk-UA"/>
        </w:rPr>
        <w:t xml:space="preserve"> – </w:t>
      </w:r>
      <w:r w:rsidR="00D05E67" w:rsidRPr="00D05E67">
        <w:rPr>
          <w:b/>
          <w:sz w:val="28"/>
          <w:szCs w:val="28"/>
          <w:lang w:val="uk-UA"/>
        </w:rPr>
        <w:t>6853,3</w:t>
      </w:r>
      <w:r w:rsidR="005E4E77" w:rsidRPr="00514BB4">
        <w:rPr>
          <w:sz w:val="28"/>
          <w:szCs w:val="28"/>
          <w:lang w:val="uk-UA"/>
        </w:rPr>
        <w:t xml:space="preserve"> тис. грн. або </w:t>
      </w:r>
      <w:r w:rsidR="00D05E67">
        <w:rPr>
          <w:sz w:val="28"/>
          <w:szCs w:val="28"/>
          <w:lang w:val="uk-UA"/>
        </w:rPr>
        <w:t>66,9</w:t>
      </w:r>
      <w:r w:rsidR="005E4E77"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2C452A" w:rsidP="002C452A">
      <w:pPr>
        <w:ind w:firstLine="708"/>
        <w:rPr>
          <w:b/>
          <w:i/>
          <w:sz w:val="32"/>
          <w:szCs w:val="32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</w:p>
    <w:p w:rsidR="000C4075" w:rsidRDefault="000C4075" w:rsidP="002C452A">
      <w:pPr>
        <w:ind w:firstLine="708"/>
        <w:rPr>
          <w:b/>
          <w:i/>
          <w:sz w:val="32"/>
          <w:szCs w:val="32"/>
          <w:lang w:val="uk-UA"/>
        </w:rPr>
      </w:pPr>
    </w:p>
    <w:p w:rsidR="000C4075" w:rsidRDefault="000C4075" w:rsidP="002C452A">
      <w:pPr>
        <w:ind w:firstLine="708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D05E67" w:rsidRDefault="00D05E67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D05E67" w:rsidRDefault="00D05E67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22B97" w:rsidRDefault="00601A91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Структура видаткової частини бюджету </w:t>
      </w:r>
    </w:p>
    <w:p w:rsidR="00601A91" w:rsidRDefault="00601A91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Білківської сільської територіальної громади </w:t>
      </w:r>
    </w:p>
    <w:p w:rsidR="00601A91" w:rsidRDefault="00601A91" w:rsidP="00601A91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022B97">
        <w:rPr>
          <w:b/>
          <w:i/>
          <w:sz w:val="32"/>
          <w:szCs w:val="32"/>
          <w:u w:val="single"/>
          <w:lang w:val="uk-UA"/>
        </w:rPr>
        <w:t>за  2021 р</w:t>
      </w:r>
      <w:r w:rsidR="00C91516">
        <w:rPr>
          <w:b/>
          <w:i/>
          <w:sz w:val="32"/>
          <w:szCs w:val="32"/>
          <w:u w:val="single"/>
          <w:lang w:val="uk-UA"/>
        </w:rPr>
        <w:t>ік</w:t>
      </w:r>
    </w:p>
    <w:p w:rsidR="00601A91" w:rsidRPr="00022B97" w:rsidRDefault="00601A91" w:rsidP="00601A91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601A91" w:rsidRPr="000C4075" w:rsidRDefault="00022B97" w:rsidP="00601A91">
      <w:pPr>
        <w:ind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</w:t>
      </w:r>
      <w:r w:rsidR="000C4075" w:rsidRPr="000C4075">
        <w:rPr>
          <w:b/>
          <w:i/>
          <w:sz w:val="22"/>
          <w:szCs w:val="22"/>
          <w:lang w:val="uk-UA"/>
        </w:rPr>
        <w:t>(загальний фонд)</w:t>
      </w:r>
    </w:p>
    <w:p w:rsidR="00601A91" w:rsidRDefault="00601A91" w:rsidP="00514BB4">
      <w:pPr>
        <w:ind w:firstLine="708"/>
        <w:jc w:val="both"/>
        <w:rPr>
          <w:sz w:val="28"/>
          <w:szCs w:val="28"/>
          <w:lang w:val="uk-UA"/>
        </w:rPr>
      </w:pPr>
    </w:p>
    <w:p w:rsidR="005E4E77" w:rsidRPr="008E0728" w:rsidRDefault="000C1203" w:rsidP="00022B97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A3709">
        <w:rPr>
          <w:sz w:val="28"/>
          <w:szCs w:val="28"/>
          <w:lang w:val="uk-UA"/>
        </w:rPr>
        <w:tab/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 w:rsidRPr="008E0728">
        <w:rPr>
          <w:sz w:val="28"/>
          <w:szCs w:val="28"/>
          <w:lang w:val="uk-UA"/>
        </w:rPr>
        <w:t xml:space="preserve">На виплату </w:t>
      </w:r>
      <w:r w:rsidRPr="000C4075">
        <w:rPr>
          <w:b/>
          <w:sz w:val="28"/>
          <w:szCs w:val="28"/>
          <w:lang w:val="uk-UA"/>
        </w:rPr>
        <w:t>заробітної плати з нарахуваннями</w:t>
      </w:r>
      <w:r w:rsidRPr="008E0728">
        <w:rPr>
          <w:sz w:val="28"/>
          <w:szCs w:val="28"/>
          <w:lang w:val="uk-UA"/>
        </w:rPr>
        <w:t xml:space="preserve"> із загального фонду  бюджет</w:t>
      </w:r>
      <w:r w:rsidR="008E0728"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="000C4075" w:rsidRPr="000C4075">
        <w:rPr>
          <w:b/>
          <w:sz w:val="28"/>
          <w:szCs w:val="28"/>
          <w:lang w:val="uk-UA"/>
        </w:rPr>
        <w:t>96</w:t>
      </w:r>
      <w:r w:rsidR="000C4075">
        <w:rPr>
          <w:b/>
          <w:sz w:val="28"/>
          <w:szCs w:val="28"/>
          <w:lang w:val="uk-UA"/>
        </w:rPr>
        <w:t xml:space="preserve"> </w:t>
      </w:r>
      <w:r w:rsidR="000C4075" w:rsidRPr="000C4075">
        <w:rPr>
          <w:b/>
          <w:sz w:val="28"/>
          <w:szCs w:val="28"/>
          <w:lang w:val="uk-UA"/>
        </w:rPr>
        <w:t>874,3</w:t>
      </w:r>
      <w:r w:rsidRPr="008E0728">
        <w:rPr>
          <w:sz w:val="28"/>
          <w:szCs w:val="28"/>
          <w:lang w:val="uk-UA"/>
        </w:rPr>
        <w:t xml:space="preserve"> тис. грн. або </w:t>
      </w:r>
      <w:r w:rsidR="000C4075">
        <w:rPr>
          <w:sz w:val="28"/>
          <w:szCs w:val="28"/>
          <w:lang w:val="uk-UA"/>
        </w:rPr>
        <w:t>93,1</w:t>
      </w:r>
      <w:r w:rsidRPr="008E0728">
        <w:rPr>
          <w:sz w:val="28"/>
          <w:szCs w:val="28"/>
          <w:lang w:val="uk-UA"/>
        </w:rPr>
        <w:t xml:space="preserve"> відсотка всіх видатків</w:t>
      </w:r>
      <w:r w:rsidR="008E0728"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 w:rsidR="008E0728">
        <w:rPr>
          <w:sz w:val="28"/>
          <w:szCs w:val="28"/>
          <w:lang w:val="uk-UA"/>
        </w:rPr>
        <w:t>Н</w:t>
      </w:r>
      <w:r w:rsidRPr="00110D18">
        <w:rPr>
          <w:sz w:val="28"/>
          <w:szCs w:val="28"/>
        </w:rPr>
        <w:t xml:space="preserve">а </w:t>
      </w:r>
      <w:r w:rsidRPr="00CB6490">
        <w:rPr>
          <w:b/>
          <w:sz w:val="28"/>
          <w:szCs w:val="28"/>
        </w:rPr>
        <w:t>оплату енергоносіїв</w:t>
      </w:r>
      <w:r w:rsidR="00F8476E">
        <w:rPr>
          <w:sz w:val="28"/>
          <w:szCs w:val="28"/>
          <w:lang w:val="uk-UA"/>
        </w:rPr>
        <w:t xml:space="preserve"> видатки склали</w:t>
      </w:r>
      <w:r>
        <w:rPr>
          <w:sz w:val="28"/>
          <w:szCs w:val="28"/>
        </w:rPr>
        <w:t xml:space="preserve"> – </w:t>
      </w:r>
      <w:r w:rsidR="000C4075" w:rsidRPr="00CB6490">
        <w:rPr>
          <w:b/>
          <w:sz w:val="28"/>
          <w:szCs w:val="28"/>
          <w:lang w:val="uk-UA"/>
        </w:rPr>
        <w:t>2</w:t>
      </w:r>
      <w:r w:rsidR="00B21B4C">
        <w:rPr>
          <w:b/>
          <w:sz w:val="28"/>
          <w:szCs w:val="28"/>
          <w:lang w:val="uk-UA"/>
        </w:rPr>
        <w:t xml:space="preserve"> </w:t>
      </w:r>
      <w:r w:rsidR="000C4075" w:rsidRPr="00CB6490">
        <w:rPr>
          <w:b/>
          <w:sz w:val="28"/>
          <w:szCs w:val="28"/>
          <w:lang w:val="uk-UA"/>
        </w:rPr>
        <w:t>626,5</w:t>
      </w:r>
      <w:r w:rsidRPr="00CB6490">
        <w:rPr>
          <w:b/>
          <w:sz w:val="28"/>
          <w:szCs w:val="28"/>
        </w:rPr>
        <w:t xml:space="preserve"> тис.грн.</w:t>
      </w:r>
      <w:r w:rsidR="00B72631" w:rsidRPr="00CB6490">
        <w:rPr>
          <w:b/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або </w:t>
      </w:r>
      <w:r w:rsidR="0077201E">
        <w:rPr>
          <w:sz w:val="28"/>
          <w:szCs w:val="28"/>
          <w:lang w:val="uk-UA"/>
        </w:rPr>
        <w:t>2,</w:t>
      </w:r>
      <w:r w:rsidR="000C4075">
        <w:rPr>
          <w:sz w:val="28"/>
          <w:szCs w:val="28"/>
          <w:lang w:val="uk-UA"/>
        </w:rPr>
        <w:t>5</w:t>
      </w:r>
      <w:r w:rsidR="00772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відсотка</w:t>
      </w:r>
      <w:r w:rsidR="00B72631">
        <w:rPr>
          <w:sz w:val="28"/>
          <w:szCs w:val="28"/>
          <w:lang w:val="uk-UA"/>
        </w:rPr>
        <w:t xml:space="preserve"> загального обсягу </w:t>
      </w:r>
      <w:r>
        <w:rPr>
          <w:sz w:val="28"/>
          <w:szCs w:val="28"/>
        </w:rPr>
        <w:t xml:space="preserve"> видатків </w:t>
      </w:r>
      <w:r w:rsidRPr="002942A8">
        <w:rPr>
          <w:sz w:val="28"/>
          <w:szCs w:val="28"/>
        </w:rPr>
        <w:t>(</w:t>
      </w:r>
      <w:r>
        <w:rPr>
          <w:sz w:val="28"/>
          <w:szCs w:val="28"/>
        </w:rPr>
        <w:t>не враховуючи заклади охорони здоров</w:t>
      </w:r>
      <w:r w:rsidRPr="002942A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Pr="002942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 w:rsidR="008A3709">
        <w:rPr>
          <w:sz w:val="28"/>
          <w:szCs w:val="28"/>
          <w:lang w:val="uk-UA"/>
        </w:rPr>
        <w:t>Д</w:t>
      </w:r>
      <w:r w:rsidRPr="00CA4ACB">
        <w:rPr>
          <w:b/>
          <w:sz w:val="28"/>
          <w:szCs w:val="28"/>
        </w:rPr>
        <w:t>ержавне управління</w:t>
      </w:r>
      <w:r>
        <w:rPr>
          <w:sz w:val="28"/>
          <w:szCs w:val="28"/>
        </w:rPr>
        <w:t xml:space="preserve">  складають </w:t>
      </w:r>
      <w:r w:rsidR="00886802">
        <w:rPr>
          <w:sz w:val="28"/>
          <w:szCs w:val="28"/>
          <w:lang w:val="uk-UA"/>
        </w:rPr>
        <w:t>9498,5</w:t>
      </w:r>
      <w:r w:rsidRPr="00022B9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грн., що становить </w:t>
      </w:r>
      <w:r w:rsidR="00886802">
        <w:rPr>
          <w:sz w:val="28"/>
          <w:szCs w:val="28"/>
          <w:lang w:val="uk-UA"/>
        </w:rPr>
        <w:t xml:space="preserve">97,2 </w:t>
      </w:r>
      <w:r>
        <w:rPr>
          <w:sz w:val="28"/>
          <w:szCs w:val="28"/>
        </w:rPr>
        <w:t>відсотка планових показників на рік.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Протягом 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із загального фонду бюджету на виплату заробітної плати з нарахуваннями по даній галузі спрямовано </w:t>
      </w:r>
      <w:r w:rsidR="000C4075">
        <w:rPr>
          <w:sz w:val="28"/>
          <w:szCs w:val="28"/>
          <w:lang w:val="uk-UA"/>
        </w:rPr>
        <w:t>5943,7</w:t>
      </w:r>
      <w:r>
        <w:rPr>
          <w:sz w:val="28"/>
          <w:szCs w:val="28"/>
        </w:rPr>
        <w:t xml:space="preserve"> тис. грн., що складає </w:t>
      </w:r>
      <w:r w:rsidR="000C4075">
        <w:rPr>
          <w:sz w:val="28"/>
          <w:szCs w:val="28"/>
          <w:lang w:val="uk-UA"/>
        </w:rPr>
        <w:t>77,3</w:t>
      </w:r>
      <w:r w:rsidR="007D6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відсотка від загальної суми видатків по цій галузі, на оплату енергоносіїв </w:t>
      </w:r>
      <w:r w:rsidR="00B72631">
        <w:rPr>
          <w:sz w:val="28"/>
          <w:szCs w:val="28"/>
          <w:lang w:val="uk-UA"/>
        </w:rPr>
        <w:t>1</w:t>
      </w:r>
      <w:r w:rsidR="000C4075">
        <w:rPr>
          <w:sz w:val="28"/>
          <w:szCs w:val="28"/>
          <w:lang w:val="uk-UA"/>
        </w:rPr>
        <w:t>61,5</w:t>
      </w:r>
      <w:r>
        <w:rPr>
          <w:sz w:val="28"/>
          <w:szCs w:val="28"/>
        </w:rPr>
        <w:t xml:space="preserve"> тис. грн., що складає </w:t>
      </w:r>
      <w:r w:rsidR="00022B97">
        <w:rPr>
          <w:sz w:val="28"/>
          <w:szCs w:val="28"/>
          <w:lang w:val="uk-UA"/>
        </w:rPr>
        <w:t>2,1</w:t>
      </w:r>
      <w:r>
        <w:rPr>
          <w:sz w:val="28"/>
          <w:szCs w:val="28"/>
        </w:rPr>
        <w:t xml:space="preserve"> відсотка від загальної суми видатків.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</w:t>
      </w:r>
      <w:r w:rsidR="007D607C"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22B97" w:rsidRPr="00022B97">
        <w:rPr>
          <w:b/>
          <w:sz w:val="28"/>
          <w:szCs w:val="28"/>
          <w:lang w:val="uk-UA"/>
        </w:rPr>
        <w:t>92 401,2</w:t>
      </w:r>
      <w:r w:rsidRPr="00022B9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видатки </w:t>
      </w:r>
      <w:r w:rsidR="007D607C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="00022B97" w:rsidRPr="00022B97">
        <w:rPr>
          <w:b/>
          <w:sz w:val="28"/>
          <w:szCs w:val="28"/>
          <w:lang w:val="uk-UA"/>
        </w:rPr>
        <w:t>90 144,0</w:t>
      </w:r>
      <w:r w:rsidR="00752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що складає 9</w:t>
      </w:r>
      <w:r w:rsidR="00752FFB">
        <w:rPr>
          <w:sz w:val="28"/>
          <w:szCs w:val="28"/>
          <w:lang w:val="uk-UA"/>
        </w:rPr>
        <w:t>7,</w:t>
      </w:r>
      <w:r w:rsidR="00022B97">
        <w:rPr>
          <w:sz w:val="28"/>
          <w:szCs w:val="28"/>
          <w:lang w:val="uk-UA"/>
        </w:rPr>
        <w:t>5</w:t>
      </w:r>
      <w:r w:rsidR="00752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 w:rsidR="00022B97">
        <w:rPr>
          <w:sz w:val="28"/>
          <w:szCs w:val="28"/>
          <w:lang w:val="uk-UA"/>
        </w:rPr>
        <w:t>307,7</w:t>
      </w:r>
      <w:r>
        <w:rPr>
          <w:sz w:val="28"/>
          <w:szCs w:val="28"/>
        </w:rPr>
        <w:t xml:space="preserve"> тис. грн., на оплату </w:t>
      </w:r>
      <w:r>
        <w:rPr>
          <w:sz w:val="28"/>
          <w:szCs w:val="28"/>
        </w:rPr>
        <w:lastRenderedPageBreak/>
        <w:t>енергоносіїв –</w:t>
      </w:r>
      <w:r w:rsidR="00636A60">
        <w:rPr>
          <w:sz w:val="28"/>
          <w:szCs w:val="28"/>
          <w:lang w:val="uk-UA"/>
        </w:rPr>
        <w:t xml:space="preserve"> </w:t>
      </w:r>
      <w:r w:rsidR="00022B97">
        <w:rPr>
          <w:sz w:val="28"/>
          <w:szCs w:val="28"/>
          <w:lang w:val="uk-UA"/>
        </w:rPr>
        <w:t>2414,1</w:t>
      </w:r>
      <w:r>
        <w:rPr>
          <w:sz w:val="28"/>
          <w:szCs w:val="28"/>
        </w:rPr>
        <w:t xml:space="preserve"> тис. грн., або </w:t>
      </w:r>
      <w:r w:rsidR="00022B97">
        <w:rPr>
          <w:sz w:val="28"/>
          <w:szCs w:val="28"/>
          <w:lang w:val="uk-UA"/>
        </w:rPr>
        <w:t>7</w:t>
      </w:r>
      <w:r w:rsidR="00636A60">
        <w:rPr>
          <w:sz w:val="28"/>
          <w:szCs w:val="28"/>
          <w:lang w:val="uk-UA"/>
        </w:rPr>
        <w:t>9,9</w:t>
      </w:r>
      <w:r>
        <w:rPr>
          <w:sz w:val="28"/>
          <w:szCs w:val="28"/>
        </w:rPr>
        <w:t xml:space="preserve"> відсотків від планових показників на звітній період. </w:t>
      </w:r>
    </w:p>
    <w:p w:rsidR="00C6267D" w:rsidRPr="00C6267D" w:rsidRDefault="00C6267D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розрізі функціонального поділу видатків по </w:t>
      </w:r>
      <w:r w:rsidR="005407B0" w:rsidRPr="005407B0">
        <w:rPr>
          <w:b/>
          <w:sz w:val="28"/>
          <w:szCs w:val="28"/>
          <w:lang w:val="uk-UA"/>
        </w:rPr>
        <w:t>О</w:t>
      </w:r>
      <w:r w:rsidRPr="005407B0">
        <w:rPr>
          <w:b/>
          <w:sz w:val="28"/>
          <w:szCs w:val="28"/>
          <w:lang w:val="uk-UA"/>
        </w:rPr>
        <w:t>світі</w:t>
      </w:r>
      <w:r>
        <w:rPr>
          <w:sz w:val="28"/>
          <w:szCs w:val="28"/>
          <w:lang w:val="uk-UA"/>
        </w:rPr>
        <w:t xml:space="preserve">, видатки на </w:t>
      </w:r>
      <w:r w:rsidRPr="005407B0">
        <w:rPr>
          <w:b/>
          <w:sz w:val="28"/>
          <w:szCs w:val="28"/>
          <w:lang w:val="uk-UA"/>
        </w:rPr>
        <w:t>Дошкільну освіту</w:t>
      </w:r>
      <w:r>
        <w:rPr>
          <w:sz w:val="28"/>
          <w:szCs w:val="28"/>
          <w:lang w:val="uk-UA"/>
        </w:rPr>
        <w:t xml:space="preserve"> склали – 18905,6 тис.грн., видатки на </w:t>
      </w:r>
      <w:r w:rsidR="005407B0" w:rsidRPr="005407B0">
        <w:rPr>
          <w:b/>
          <w:sz w:val="28"/>
          <w:szCs w:val="28"/>
          <w:lang w:val="uk-UA"/>
        </w:rPr>
        <w:t xml:space="preserve">Надання загальної середньої освіти </w:t>
      </w:r>
      <w:r w:rsidR="005407B0">
        <w:rPr>
          <w:sz w:val="28"/>
          <w:szCs w:val="28"/>
          <w:lang w:val="uk-UA"/>
        </w:rPr>
        <w:t xml:space="preserve">– 69576,2 тис.грн., в тому числі за рахунок субвенції з державного бюджету </w:t>
      </w:r>
      <w:r w:rsidR="00E3109C">
        <w:rPr>
          <w:sz w:val="28"/>
          <w:szCs w:val="28"/>
          <w:lang w:val="uk-UA"/>
        </w:rPr>
        <w:t>–</w:t>
      </w:r>
      <w:r w:rsidR="005407B0">
        <w:rPr>
          <w:sz w:val="28"/>
          <w:szCs w:val="28"/>
          <w:lang w:val="uk-UA"/>
        </w:rPr>
        <w:t xml:space="preserve"> </w:t>
      </w:r>
      <w:r w:rsidR="00E3109C">
        <w:rPr>
          <w:sz w:val="28"/>
          <w:szCs w:val="28"/>
          <w:lang w:val="uk-UA"/>
        </w:rPr>
        <w:t xml:space="preserve">57678,7 тис.грн., видатки по </w:t>
      </w:r>
      <w:r w:rsidR="00E3109C" w:rsidRPr="00E3109C">
        <w:rPr>
          <w:b/>
          <w:sz w:val="28"/>
          <w:szCs w:val="28"/>
          <w:lang w:val="uk-UA"/>
        </w:rPr>
        <w:t>Наданню спеціальної освіти мистецькими школами</w:t>
      </w:r>
      <w:r w:rsidR="00E3109C">
        <w:rPr>
          <w:sz w:val="28"/>
          <w:szCs w:val="28"/>
          <w:lang w:val="uk-UA"/>
        </w:rPr>
        <w:t>- 4475,6 тис.грн..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 xml:space="preserve">”  за січень - </w:t>
      </w:r>
      <w:r w:rsidR="00022B97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 w:rsidR="00752FF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22B97" w:rsidRPr="00E3109C">
        <w:rPr>
          <w:b/>
          <w:sz w:val="28"/>
          <w:szCs w:val="28"/>
          <w:lang w:val="uk-UA"/>
        </w:rPr>
        <w:t>1118,3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по </w:t>
      </w:r>
      <w:r w:rsidR="000A62B2">
        <w:rPr>
          <w:sz w:val="28"/>
          <w:szCs w:val="28"/>
          <w:lang w:val="uk-UA"/>
        </w:rPr>
        <w:t>відшкодуванню вартості енергоносіїв-</w:t>
      </w:r>
      <w:r w:rsidR="00636A60">
        <w:rPr>
          <w:sz w:val="28"/>
          <w:szCs w:val="28"/>
          <w:lang w:val="uk-UA"/>
        </w:rPr>
        <w:t>2</w:t>
      </w:r>
      <w:r w:rsidR="00022B97">
        <w:rPr>
          <w:sz w:val="28"/>
          <w:szCs w:val="28"/>
          <w:lang w:val="uk-UA"/>
        </w:rPr>
        <w:t>95,2</w:t>
      </w:r>
      <w:r>
        <w:rPr>
          <w:sz w:val="28"/>
          <w:szCs w:val="28"/>
        </w:rPr>
        <w:t xml:space="preserve"> тис. грн.,</w:t>
      </w:r>
      <w:r w:rsidR="000A62B2">
        <w:rPr>
          <w:sz w:val="28"/>
          <w:szCs w:val="28"/>
          <w:lang w:val="uk-UA"/>
        </w:rPr>
        <w:t xml:space="preserve"> видатки по пільговому відпуску ліків ( в тому числі по цукровому діабету)- </w:t>
      </w:r>
      <w:r w:rsidR="00022B97">
        <w:rPr>
          <w:sz w:val="28"/>
          <w:szCs w:val="28"/>
          <w:lang w:val="uk-UA"/>
        </w:rPr>
        <w:t>823,1</w:t>
      </w:r>
      <w:r>
        <w:rPr>
          <w:sz w:val="28"/>
          <w:szCs w:val="28"/>
        </w:rPr>
        <w:t xml:space="preserve"> 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по галузі </w:t>
      </w:r>
      <w:r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Pr="00AD767A">
        <w:rPr>
          <w:sz w:val="28"/>
          <w:szCs w:val="28"/>
        </w:rPr>
        <w:t>за січень</w:t>
      </w:r>
      <w:r>
        <w:rPr>
          <w:sz w:val="28"/>
          <w:szCs w:val="28"/>
        </w:rPr>
        <w:t xml:space="preserve"> </w:t>
      </w:r>
      <w:r w:rsidRPr="00AD767A">
        <w:rPr>
          <w:sz w:val="28"/>
          <w:szCs w:val="28"/>
        </w:rPr>
        <w:t>-</w:t>
      </w:r>
      <w:r w:rsidR="00022B97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склали </w:t>
      </w:r>
      <w:r w:rsidR="00022B97" w:rsidRPr="00E3109C">
        <w:rPr>
          <w:b/>
          <w:sz w:val="28"/>
          <w:szCs w:val="28"/>
          <w:lang w:val="uk-UA"/>
        </w:rPr>
        <w:t>154,2</w:t>
      </w:r>
      <w:r>
        <w:rPr>
          <w:sz w:val="28"/>
          <w:szCs w:val="28"/>
        </w:rPr>
        <w:t xml:space="preserve"> тис. грн..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>у січні-</w:t>
      </w:r>
      <w:r w:rsidR="00022B97">
        <w:rPr>
          <w:sz w:val="28"/>
          <w:szCs w:val="28"/>
          <w:lang w:val="uk-UA"/>
        </w:rPr>
        <w:t>вересні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r w:rsidRPr="00E3109C">
        <w:rPr>
          <w:sz w:val="28"/>
          <w:szCs w:val="28"/>
        </w:rPr>
        <w:t>склали</w:t>
      </w:r>
      <w:r w:rsidRPr="00E3109C">
        <w:rPr>
          <w:b/>
          <w:sz w:val="28"/>
          <w:szCs w:val="28"/>
        </w:rPr>
        <w:t xml:space="preserve"> </w:t>
      </w:r>
      <w:r w:rsidR="000A62B2" w:rsidRPr="00E3109C">
        <w:rPr>
          <w:b/>
          <w:sz w:val="28"/>
          <w:szCs w:val="28"/>
          <w:lang w:val="uk-UA"/>
        </w:rPr>
        <w:t xml:space="preserve"> </w:t>
      </w:r>
      <w:r w:rsidR="00022B97" w:rsidRPr="00E3109C">
        <w:rPr>
          <w:b/>
          <w:sz w:val="28"/>
          <w:szCs w:val="28"/>
          <w:lang w:val="uk-UA"/>
        </w:rPr>
        <w:t>919,9</w:t>
      </w:r>
      <w:r w:rsidR="00E46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 w:rsidR="000A62B2">
        <w:rPr>
          <w:sz w:val="28"/>
          <w:szCs w:val="28"/>
          <w:lang w:val="uk-UA"/>
        </w:rPr>
        <w:t xml:space="preserve">будинках культури та клубах – </w:t>
      </w:r>
      <w:r w:rsidR="00022B97">
        <w:rPr>
          <w:sz w:val="28"/>
          <w:szCs w:val="28"/>
          <w:lang w:val="uk-UA"/>
        </w:rPr>
        <w:t>603,9</w:t>
      </w:r>
      <w:r w:rsidR="000A62B2">
        <w:rPr>
          <w:sz w:val="28"/>
          <w:szCs w:val="28"/>
          <w:lang w:val="uk-UA"/>
        </w:rPr>
        <w:t xml:space="preserve"> тис.грн.</w:t>
      </w:r>
      <w:r w:rsidR="00022B97">
        <w:rPr>
          <w:sz w:val="28"/>
          <w:szCs w:val="28"/>
          <w:lang w:val="uk-UA"/>
        </w:rPr>
        <w:t>, на утримання бібліотек – 316,0 тис.грн..</w:t>
      </w:r>
      <w:r>
        <w:rPr>
          <w:sz w:val="28"/>
          <w:szCs w:val="28"/>
        </w:rPr>
        <w:t>.</w:t>
      </w:r>
    </w:p>
    <w:p w:rsidR="00E46E79" w:rsidRPr="00E46E79" w:rsidRDefault="00E46E79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– </w:t>
      </w:r>
      <w:r w:rsidR="00022B97" w:rsidRPr="00E3109C">
        <w:rPr>
          <w:b/>
          <w:sz w:val="28"/>
          <w:szCs w:val="28"/>
          <w:lang w:val="uk-UA"/>
        </w:rPr>
        <w:t>855,9</w:t>
      </w:r>
      <w:r>
        <w:rPr>
          <w:sz w:val="28"/>
          <w:szCs w:val="28"/>
          <w:lang w:val="uk-UA"/>
        </w:rPr>
        <w:t xml:space="preserve"> тис.грн.</w:t>
      </w:r>
      <w:r w:rsidR="00022B97">
        <w:rPr>
          <w:sz w:val="28"/>
          <w:szCs w:val="28"/>
          <w:lang w:val="uk-UA"/>
        </w:rPr>
        <w:t xml:space="preserve">, видатки по ремонту і утриманню доріг місцевого значення склали – </w:t>
      </w:r>
      <w:r w:rsidR="00022B97" w:rsidRPr="00E3109C">
        <w:rPr>
          <w:b/>
          <w:sz w:val="28"/>
          <w:szCs w:val="28"/>
          <w:lang w:val="uk-UA"/>
        </w:rPr>
        <w:t>564,0</w:t>
      </w:r>
      <w:r w:rsidR="00022B97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 xml:space="preserve">. </w:t>
      </w:r>
    </w:p>
    <w:p w:rsidR="005E4E77" w:rsidRPr="000A62B2" w:rsidRDefault="005E4E77" w:rsidP="005E4E77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 w:rsidR="000A62B2">
        <w:rPr>
          <w:b/>
          <w:i/>
          <w:sz w:val="28"/>
          <w:szCs w:val="28"/>
          <w:lang w:val="uk-UA"/>
        </w:rPr>
        <w:t>бюджету</w:t>
      </w:r>
    </w:p>
    <w:p w:rsidR="000A62B2" w:rsidRDefault="005E4E77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 w:rsidR="000A62B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 січень-</w:t>
      </w:r>
      <w:r w:rsidR="00022B97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склали </w:t>
      </w:r>
      <w:r w:rsidR="000A62B2" w:rsidRPr="00E3109C">
        <w:rPr>
          <w:b/>
          <w:sz w:val="28"/>
          <w:szCs w:val="28"/>
          <w:lang w:val="uk-UA"/>
        </w:rPr>
        <w:t>1</w:t>
      </w:r>
      <w:r w:rsidR="00022B97" w:rsidRPr="00E3109C">
        <w:rPr>
          <w:b/>
          <w:sz w:val="28"/>
          <w:szCs w:val="28"/>
          <w:lang w:val="uk-UA"/>
        </w:rPr>
        <w:t>756,0</w:t>
      </w:r>
      <w:r w:rsidR="00022B97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тис.грн., або </w:t>
      </w:r>
      <w:r w:rsidR="00022B97">
        <w:rPr>
          <w:sz w:val="28"/>
          <w:szCs w:val="28"/>
          <w:lang w:val="uk-UA"/>
        </w:rPr>
        <w:t>70,5</w:t>
      </w:r>
      <w:r>
        <w:rPr>
          <w:sz w:val="28"/>
          <w:szCs w:val="28"/>
        </w:rPr>
        <w:t xml:space="preserve"> відсотка кошторисних призначень на </w:t>
      </w:r>
      <w:r w:rsidR="000A62B2">
        <w:rPr>
          <w:sz w:val="28"/>
          <w:szCs w:val="28"/>
          <w:lang w:val="uk-UA"/>
        </w:rPr>
        <w:t>звітній період.</w:t>
      </w:r>
      <w:r w:rsidR="003A5099">
        <w:rPr>
          <w:sz w:val="28"/>
          <w:szCs w:val="28"/>
          <w:lang w:val="uk-UA"/>
        </w:rPr>
        <w:t xml:space="preserve"> Питому вагу видатків по спецфонду склали видатки по харчуванню в закладах дошкільної освіти – 851,4 тис.грн..</w:t>
      </w:r>
    </w:p>
    <w:p w:rsidR="00E46E79" w:rsidRDefault="00E46E79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5E4E77" w:rsidRDefault="005E4E77" w:rsidP="005E4E77">
      <w:pPr>
        <w:spacing w:after="120"/>
        <w:jc w:val="both"/>
        <w:rPr>
          <w:sz w:val="28"/>
          <w:szCs w:val="28"/>
        </w:rPr>
      </w:pPr>
    </w:p>
    <w:p w:rsidR="005E4E77" w:rsidRDefault="005E4E77" w:rsidP="005E4E77">
      <w:pPr>
        <w:ind w:left="142"/>
        <w:rPr>
          <w:b/>
          <w:sz w:val="28"/>
          <w:szCs w:val="28"/>
        </w:rPr>
      </w:pPr>
    </w:p>
    <w:p w:rsidR="0014271E" w:rsidRPr="005E4E77" w:rsidRDefault="0014271E" w:rsidP="0014271E">
      <w:pPr>
        <w:ind w:firstLine="708"/>
        <w:jc w:val="both"/>
        <w:rPr>
          <w:sz w:val="28"/>
          <w:szCs w:val="28"/>
        </w:rPr>
      </w:pPr>
    </w:p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14271E"/>
    <w:rsid w:val="00022B97"/>
    <w:rsid w:val="00070212"/>
    <w:rsid w:val="000A62B2"/>
    <w:rsid w:val="000C1203"/>
    <w:rsid w:val="000C4075"/>
    <w:rsid w:val="000C6A9D"/>
    <w:rsid w:val="000E60A7"/>
    <w:rsid w:val="001165D4"/>
    <w:rsid w:val="0014271E"/>
    <w:rsid w:val="001D69DE"/>
    <w:rsid w:val="001F7608"/>
    <w:rsid w:val="002002BE"/>
    <w:rsid w:val="00205F64"/>
    <w:rsid w:val="00226E11"/>
    <w:rsid w:val="00231FD8"/>
    <w:rsid w:val="00281B46"/>
    <w:rsid w:val="002A416E"/>
    <w:rsid w:val="002C452A"/>
    <w:rsid w:val="002D1F84"/>
    <w:rsid w:val="003323A1"/>
    <w:rsid w:val="003928EF"/>
    <w:rsid w:val="003A5099"/>
    <w:rsid w:val="003C072B"/>
    <w:rsid w:val="004A6F0D"/>
    <w:rsid w:val="004E4CBA"/>
    <w:rsid w:val="00514BB4"/>
    <w:rsid w:val="005407B0"/>
    <w:rsid w:val="00541699"/>
    <w:rsid w:val="005E3071"/>
    <w:rsid w:val="005E4E77"/>
    <w:rsid w:val="00601A91"/>
    <w:rsid w:val="00636A60"/>
    <w:rsid w:val="00652AE5"/>
    <w:rsid w:val="007021FA"/>
    <w:rsid w:val="00746850"/>
    <w:rsid w:val="00752FFB"/>
    <w:rsid w:val="0077201E"/>
    <w:rsid w:val="007A128A"/>
    <w:rsid w:val="007A7383"/>
    <w:rsid w:val="007C4EB2"/>
    <w:rsid w:val="007D607C"/>
    <w:rsid w:val="008344B0"/>
    <w:rsid w:val="00835DD2"/>
    <w:rsid w:val="00886802"/>
    <w:rsid w:val="0089264E"/>
    <w:rsid w:val="008A3709"/>
    <w:rsid w:val="008E0728"/>
    <w:rsid w:val="009363FB"/>
    <w:rsid w:val="009374AA"/>
    <w:rsid w:val="009B1DBF"/>
    <w:rsid w:val="00AD71DA"/>
    <w:rsid w:val="00B21B4C"/>
    <w:rsid w:val="00B22966"/>
    <w:rsid w:val="00B72631"/>
    <w:rsid w:val="00BF29DE"/>
    <w:rsid w:val="00C44A22"/>
    <w:rsid w:val="00C51B22"/>
    <w:rsid w:val="00C53BEF"/>
    <w:rsid w:val="00C6267D"/>
    <w:rsid w:val="00C91516"/>
    <w:rsid w:val="00C94A3E"/>
    <w:rsid w:val="00CA3872"/>
    <w:rsid w:val="00CB4236"/>
    <w:rsid w:val="00CB6490"/>
    <w:rsid w:val="00CC5295"/>
    <w:rsid w:val="00D05E67"/>
    <w:rsid w:val="00D775D4"/>
    <w:rsid w:val="00E3109C"/>
    <w:rsid w:val="00E46E79"/>
    <w:rsid w:val="00E46FEF"/>
    <w:rsid w:val="00EF5651"/>
    <w:rsid w:val="00F014E4"/>
    <w:rsid w:val="00F10A8A"/>
    <w:rsid w:val="00F54368"/>
    <w:rsid w:val="00F64F93"/>
    <w:rsid w:val="00F81D92"/>
    <w:rsid w:val="00F8476E"/>
    <w:rsid w:val="00F97508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C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1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17931.3</c:v>
                </c:pt>
                <c:pt idx="1">
                  <c:v>10179</c:v>
                </c:pt>
                <c:pt idx="2">
                  <c:v>1387.3</c:v>
                </c:pt>
                <c:pt idx="3">
                  <c:v>815.7</c:v>
                </c:pt>
                <c:pt idx="4">
                  <c:v>444.9</c:v>
                </c:pt>
                <c:pt idx="5">
                  <c:v>654.79999999999995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127402.3</c:v>
                </c:pt>
                <c:pt idx="1">
                  <c:v>1378.1</c:v>
                </c:pt>
                <c:pt idx="2">
                  <c:v>1625.2</c:v>
                </c:pt>
                <c:pt idx="3">
                  <c:v>9498.5</c:v>
                </c:pt>
                <c:pt idx="4">
                  <c:v>1399.4</c:v>
                </c:pt>
                <c:pt idx="5">
                  <c:v>1300.9000000000001</c:v>
                </c:pt>
                <c:pt idx="6">
                  <c:v>239.7</c:v>
                </c:pt>
                <c:pt idx="7">
                  <c:v>260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2022-01-24T07:51:00Z</cp:lastPrinted>
  <dcterms:created xsi:type="dcterms:W3CDTF">2022-03-21T12:25:00Z</dcterms:created>
  <dcterms:modified xsi:type="dcterms:W3CDTF">2022-03-21T12:25:00Z</dcterms:modified>
</cp:coreProperties>
</file>